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35.240.50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2"/>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4"/>
                    <w:framePr w:wrap="notBeside" w:vAnchor="page" w:hAnchor="page" w:x="1372" w:y="568"/>
                    <w:ind w:left="420" w:right="624"/>
                    <w:rPr>
                      <w:rFonts w:ascii="宋体" w:hAnsi="宋体"/>
                      <w:sz w:val="28"/>
                      <w:szCs w:val="28"/>
                    </w:rPr>
                  </w:pPr>
                  <w:r>
                    <w:rPr>
                      <w:sz w:val="21"/>
                      <w:szCs w:val="21"/>
                    </w:rPr>
                    <w:t xml:space="preserve"> </w:t>
                  </w:r>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J07</w:t>
            </w:r>
          </w:p>
        </w:tc>
      </w:tr>
    </w:tbl>
    <w:p>
      <w:pPr>
        <w:pStyle w:val="55"/>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200"/>
        <w:framePr w:wrap="around"/>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XXX</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bookmarkStart w:id="4" w:name="CSTD_NAME"/>
      <w:r>
        <w:rPr>
          <w:rFonts w:hint="eastAsia"/>
        </w:rPr>
        <w:fldChar w:fldCharType="begin">
          <w:ffData>
            <w:name w:val="CSTD_NAME"/>
            <w:enabled/>
            <w:calcOnExit w:val="0"/>
            <w:textInput>
              <w:default w:val="铸造环境健康安全智能管理系统架构指南"/>
            </w:textInput>
          </w:ffData>
        </w:fldChar>
      </w:r>
      <w:r>
        <w:rPr>
          <w:rFonts w:hint="eastAsia"/>
        </w:rPr>
        <w:instrText xml:space="preserve">FORMTEXT</w:instrText>
      </w:r>
      <w:r>
        <w:rPr>
          <w:rFonts w:hint="eastAsia"/>
        </w:rPr>
        <w:fldChar w:fldCharType="separate"/>
      </w:r>
      <w:r>
        <w:rPr>
          <w:rFonts w:hint="eastAsia"/>
        </w:rPr>
        <w:t>铸造环境健康安全智能管理 系统架构指南</w:t>
      </w:r>
      <w:r>
        <w:rPr>
          <w:rFonts w:hint="eastAsia"/>
        </w:rPr>
        <w:fldChar w:fldCharType="end"/>
      </w:r>
      <w:bookmarkEnd w:id="4"/>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hint="eastAsia" w:eastAsia="黑体"/>
          <w:szCs w:val="28"/>
        </w:rPr>
        <w:t xml:space="preserve">Foundry </w:t>
      </w:r>
      <w:r>
        <w:rPr>
          <w:rFonts w:eastAsia="黑体"/>
          <w:szCs w:val="28"/>
        </w:rPr>
        <w:t>e</w:t>
      </w:r>
      <w:r>
        <w:rPr>
          <w:rFonts w:hint="eastAsia" w:eastAsia="黑体"/>
          <w:szCs w:val="28"/>
        </w:rPr>
        <w:t xml:space="preserve">nvironmental </w:t>
      </w:r>
      <w:r>
        <w:rPr>
          <w:rFonts w:eastAsia="黑体"/>
          <w:szCs w:val="28"/>
        </w:rPr>
        <w:t>h</w:t>
      </w:r>
      <w:r>
        <w:rPr>
          <w:rFonts w:hint="eastAsia" w:eastAsia="黑体"/>
          <w:szCs w:val="28"/>
        </w:rPr>
        <w:t xml:space="preserve">ealth and </w:t>
      </w:r>
      <w:r>
        <w:rPr>
          <w:rFonts w:eastAsia="黑体"/>
          <w:szCs w:val="28"/>
        </w:rPr>
        <w:t>s</w:t>
      </w:r>
      <w:r>
        <w:rPr>
          <w:rFonts w:hint="eastAsia" w:eastAsia="黑体"/>
          <w:szCs w:val="28"/>
        </w:rPr>
        <w:t xml:space="preserve">afety </w:t>
      </w:r>
      <w:r>
        <w:rPr>
          <w:rFonts w:eastAsia="黑体"/>
          <w:szCs w:val="28"/>
        </w:rPr>
        <w:t>i</w:t>
      </w:r>
      <w:r>
        <w:rPr>
          <w:rFonts w:hint="eastAsia" w:eastAsia="黑体"/>
          <w:szCs w:val="28"/>
        </w:rPr>
        <w:t xml:space="preserve">ntelligent </w:t>
      </w:r>
      <w:r>
        <w:rPr>
          <w:rFonts w:eastAsia="黑体"/>
          <w:szCs w:val="28"/>
        </w:rPr>
        <w:t>m</w:t>
      </w:r>
      <w:r>
        <w:rPr>
          <w:rFonts w:hint="eastAsia" w:eastAsia="黑体"/>
          <w:szCs w:val="28"/>
        </w:rPr>
        <w:t xml:space="preserve">anagement </w:t>
      </w:r>
      <w:r>
        <w:rPr>
          <w:rFonts w:eastAsia="黑体"/>
          <w:szCs w:val="28"/>
        </w:rPr>
        <w:t>m</w:t>
      </w:r>
      <w:r>
        <w:rPr>
          <w:rFonts w:hint="eastAsia" w:eastAsia="黑体"/>
          <w:szCs w:val="28"/>
        </w:rPr>
        <w:t xml:space="preserve">ystem </w:t>
      </w:r>
      <w:r>
        <w:rPr>
          <w:rFonts w:eastAsia="黑体"/>
          <w:szCs w:val="28"/>
        </w:rPr>
        <w:t>a</w:t>
      </w:r>
      <w:r>
        <w:rPr>
          <w:rFonts w:hint="eastAsia" w:eastAsia="黑体"/>
          <w:szCs w:val="28"/>
        </w:rPr>
        <w:t xml:space="preserve">rchitecture </w:t>
      </w:r>
      <w:r>
        <w:rPr>
          <w:rFonts w:eastAsia="黑体"/>
          <w:szCs w:val="28"/>
        </w:rPr>
        <w:t>g</w:t>
      </w:r>
      <w:r>
        <w:rPr>
          <w:rFonts w:hint="eastAsia" w:eastAsia="黑体"/>
          <w:szCs w:val="28"/>
        </w:rPr>
        <w:t>uide</w:t>
      </w:r>
    </w:p>
    <w:p>
      <w:pPr>
        <w:framePr w:w="9639" w:h="6974" w:hRule="exact" w:wrap="around" w:vAnchor="page" w:hAnchor="page" w:x="1419" w:y="6408" w:anchorLock="1"/>
        <w:spacing w:line="760" w:lineRule="exact"/>
        <w:ind w:left="-1418"/>
      </w:pPr>
    </w:p>
    <w:sdt>
      <w:sdtPr>
        <w:tag w:val="NEW_STAND_NAME"/>
        <w:id w:val="178556162"/>
        <w:placeholder>
          <w:docPart w:val="ED9BDBD3FCC54C0C9B5E04D572B4B651"/>
        </w:placeholder>
      </w:sdtPr>
      <w:sdtContent>
        <w:p>
          <w:pPr>
            <w:pStyle w:val="21"/>
            <w:framePr w:w="9639" w:h="6974" w:hRule="exact" w:wrap="around" w:vAnchor="page" w:hAnchor="page" w:x="1419" w:y="6408" w:anchorLock="1"/>
            <w:tabs>
              <w:tab w:val="right" w:leader="dot" w:pos="9354"/>
            </w:tabs>
          </w:pPr>
          <w:r>
            <w:t xml:space="preserve"> </w:t>
          </w:r>
        </w:p>
      </w:sdtContent>
    </w:sdt>
    <w:p>
      <w:pPr>
        <w:pStyle w:val="130"/>
        <w:framePr w:w="9639" w:h="6974" w:hRule="exact" w:wrap="around" w:vAnchor="page" w:hAnchor="page" w:x="1419" w:y="6408" w:anchorLock="1"/>
        <w:textAlignment w:val="bottom"/>
        <w:rPr>
          <w:rFonts w:eastAsia="黑体"/>
          <w:szCs w:val="28"/>
        </w:rPr>
      </w:pPr>
    </w:p>
    <w:p>
      <w:pPr>
        <w:pStyle w:val="130"/>
        <w:framePr w:w="9639" w:h="6974" w:hRule="exact" w:wrap="around" w:vAnchor="page" w:hAnchor="page" w:x="1419" w:y="6408" w:anchorLock="1"/>
        <w:tabs>
          <w:tab w:val="center" w:pos="4879"/>
          <w:tab w:val="left" w:pos="6423"/>
        </w:tabs>
        <w:spacing w:before="440" w:after="160"/>
        <w:jc w:val="left"/>
        <w:textAlignment w:val="bottom"/>
        <w:rPr>
          <w:sz w:val="24"/>
          <w:szCs w:val="28"/>
        </w:rPr>
      </w:pPr>
      <w:bookmarkStart w:id="5" w:name="下拉1"/>
      <w:r>
        <w:rPr>
          <w:rFonts w:hint="eastAsia"/>
          <w:sz w:val="24"/>
          <w:szCs w:val="28"/>
        </w:rPr>
        <w:tab/>
      </w:r>
      <w:bookmarkEnd w:id="5"/>
      <w:r>
        <w:rPr>
          <w:rFonts w:hint="eastAsia"/>
          <w:sz w:val="24"/>
          <w:szCs w:val="28"/>
          <w:lang w:eastAsia="zh-CN"/>
        </w:rPr>
        <w:t>（</w:t>
      </w:r>
      <w:r>
        <w:rPr>
          <w:rFonts w:hint="eastAsia"/>
          <w:sz w:val="24"/>
          <w:szCs w:val="28"/>
          <w:lang w:val="en-US" w:eastAsia="zh-CN"/>
        </w:rPr>
        <w:t>征求意见稿</w:t>
      </w:r>
      <w:r>
        <w:rPr>
          <w:rFonts w:hint="eastAsia"/>
          <w:sz w:val="24"/>
          <w:szCs w:val="28"/>
          <w:lang w:eastAsia="zh-CN"/>
        </w:rPr>
        <w:t>）</w:t>
      </w:r>
      <w:r>
        <w:rPr>
          <w:rFonts w:hint="eastAsia"/>
          <w:sz w:val="24"/>
          <w:szCs w:val="28"/>
        </w:rPr>
        <w:tab/>
      </w:r>
    </w:p>
    <w:p>
      <w:pPr>
        <w:pStyle w:val="130"/>
        <w:framePr w:w="9639" w:h="6974" w:hRule="exact" w:wrap="around" w:vAnchor="page" w:hAnchor="page" w:x="1419" w:y="6408" w:anchorLock="1"/>
        <w:spacing w:before="180" w:line="240" w:lineRule="atLeast"/>
        <w:textAlignment w:val="bottom"/>
        <w:rPr>
          <w:sz w:val="21"/>
          <w:szCs w:val="28"/>
        </w:rPr>
      </w:pPr>
    </w:p>
    <w:sdt>
      <w:sdtPr>
        <w:tag w:val="NEW_STAND_NAME"/>
        <w:id w:val="-1497953033"/>
        <w:placeholder>
          <w:docPart w:val="5402E86B07074ED5A038BD4D3322E4DB"/>
        </w:placeholder>
      </w:sdtPr>
      <w:sdtContent>
        <w:p>
          <w:pPr>
            <w:pStyle w:val="21"/>
            <w:framePr w:w="9639" w:h="6974" w:hRule="exact" w:wrap="around" w:vAnchor="page" w:hAnchor="page" w:x="1419" w:y="6408" w:anchorLock="1"/>
            <w:tabs>
              <w:tab w:val="right" w:leader="dot" w:pos="9354"/>
            </w:tabs>
          </w:pPr>
          <w:r>
            <w:t xml:space="preserve"> </w:t>
          </w:r>
        </w:p>
      </w:sdtContent>
    </w:sdt>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t xml:space="preserve"> </w:t>
      </w: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fldChar w:fldCharType="separate"/>
      </w:r>
      <w:r>
        <w:rPr>
          <w:b/>
          <w:sz w:val="21"/>
          <w:szCs w:val="28"/>
        </w:rPr>
        <w:fldChar w:fldCharType="end"/>
      </w:r>
      <w:bookmarkEnd w:id="6"/>
    </w:p>
    <w:p>
      <w:pPr>
        <w:pStyle w:val="198"/>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5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中国铸造</w:t>
      </w:r>
      <w:r>
        <w:rPr>
          <w:rFonts w:hAnsi="黑体"/>
          <w:w w:val="100"/>
          <w:sz w:val="28"/>
        </w:rPr>
        <w:t>协会</w:t>
      </w:r>
      <w:r>
        <w:rPr>
          <w:rFonts w:hAnsi="黑体"/>
          <w:w w:val="100"/>
          <w:sz w:val="28"/>
        </w:rPr>
        <w:fldChar w:fldCharType="end"/>
      </w:r>
      <w:bookmarkEnd w:id="13"/>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pgNumType w:fmt="upperRoman"/>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6"/>
        <w:spacing w:after="360"/>
      </w:pPr>
      <w:bookmarkStart w:id="14" w:name="BookMark1"/>
      <w:bookmarkStart w:id="15" w:name="_Toc99548239"/>
      <w:bookmarkStart w:id="16" w:name="_Toc99547371"/>
      <w:bookmarkStart w:id="17" w:name="_Toc27054"/>
      <w:bookmarkStart w:id="18" w:name="_Toc98518744"/>
      <w:bookmarkStart w:id="19" w:name="_Toc99547225"/>
      <w:bookmarkStart w:id="20" w:name="BookMark4"/>
      <w:r>
        <w:rPr>
          <w:rFonts w:hint="eastAsia"/>
          <w:spacing w:val="320"/>
        </w:rPr>
        <w:t>目</w:t>
      </w:r>
      <w:r>
        <w:rPr>
          <w:rFonts w:hint="eastAsia"/>
        </w:rPr>
        <w:t>次</w:t>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"_Toc99548463" </w:instrText>
      </w:r>
      <w:r>
        <w:fldChar w:fldCharType="separate"/>
      </w:r>
      <w:r>
        <w:rPr>
          <w:rStyle w:val="37"/>
        </w:rPr>
        <w:t>前言</w:t>
      </w:r>
      <w:r>
        <w:tab/>
      </w:r>
      <w:r>
        <w:fldChar w:fldCharType="begin"/>
      </w:r>
      <w:r>
        <w:instrText xml:space="preserve"> PAGEREF _Toc99548463 \h </w:instrText>
      </w:r>
      <w:r>
        <w:fldChar w:fldCharType="separate"/>
      </w:r>
      <w:r>
        <w:t>III</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"_Toc99548464" </w:instrText>
      </w:r>
      <w:r>
        <w:fldChar w:fldCharType="separate"/>
      </w:r>
      <w:r>
        <w:rPr>
          <w:rStyle w:val="37"/>
        </w:rPr>
        <w:t>引言</w:t>
      </w:r>
      <w:r>
        <w:tab/>
      </w:r>
      <w:r>
        <w:fldChar w:fldCharType="begin"/>
      </w:r>
      <w:r>
        <w:instrText xml:space="preserve"> PAGEREF _Toc99548464 \h </w:instrText>
      </w:r>
      <w:r>
        <w:fldChar w:fldCharType="separate"/>
      </w:r>
      <w:r>
        <w:t>IV</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"_Toc99548466" </w:instrText>
      </w:r>
      <w:r>
        <w:fldChar w:fldCharType="separate"/>
      </w:r>
      <w:r>
        <w:rPr>
          <w:rStyle w:val="37"/>
        </w:rPr>
        <w:t>1 范围</w:t>
      </w:r>
      <w:r>
        <w:tab/>
      </w:r>
      <w:r>
        <w:fldChar w:fldCharType="begin"/>
      </w:r>
      <w:r>
        <w:instrText xml:space="preserve"> PAGEREF _Toc99548466 \h </w:instrText>
      </w:r>
      <w:r>
        <w:fldChar w:fldCharType="separate"/>
      </w:r>
      <w:r>
        <w:t>1</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"_Toc99548467" </w:instrText>
      </w:r>
      <w:r>
        <w:fldChar w:fldCharType="separate"/>
      </w:r>
      <w:r>
        <w:rPr>
          <w:rStyle w:val="37"/>
        </w:rPr>
        <w:t>2 规范性引用文件</w:t>
      </w:r>
      <w:r>
        <w:tab/>
      </w:r>
      <w:r>
        <w:fldChar w:fldCharType="begin"/>
      </w:r>
      <w:r>
        <w:instrText xml:space="preserve"> PAGEREF _Toc99548467 \h </w:instrText>
      </w:r>
      <w:r>
        <w:fldChar w:fldCharType="separate"/>
      </w:r>
      <w:r>
        <w:t>1</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"_Toc99548468" </w:instrText>
      </w:r>
      <w:r>
        <w:fldChar w:fldCharType="separate"/>
      </w:r>
      <w:r>
        <w:rPr>
          <w:rStyle w:val="37"/>
        </w:rPr>
        <w:t>3 术语、定义和缩略语</w:t>
      </w:r>
      <w:r>
        <w:tab/>
      </w:r>
      <w:r>
        <w:fldChar w:fldCharType="begin"/>
      </w:r>
      <w:r>
        <w:instrText xml:space="preserve"> PAGEREF _Toc99548468 \h </w:instrText>
      </w:r>
      <w:r>
        <w:fldChar w:fldCharType="separate"/>
      </w:r>
      <w:r>
        <w:t>1</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"_Toc99548469" </w:instrText>
      </w:r>
      <w:r>
        <w:fldChar w:fldCharType="separate"/>
      </w:r>
      <w:r>
        <w:rPr>
          <w:rStyle w:val="37"/>
          <w14:scene3d>
            <w14:lightRig w14:rig="threePt" w14:dir="t">
              <w14:rot w14:lat="0" w14:lon="0" w14:rev="0"/>
            </w14:lightRig>
          </w14:scene3d>
        </w:rPr>
        <w:t>3.1</w:t>
      </w:r>
      <w:r>
        <w:rPr>
          <w:rStyle w:val="37"/>
        </w:rPr>
        <w:t xml:space="preserve"> 术语和定义</w:t>
      </w:r>
      <w:r>
        <w:tab/>
      </w:r>
      <w:r>
        <w:fldChar w:fldCharType="begin"/>
      </w:r>
      <w:r>
        <w:instrText xml:space="preserve"> PAGEREF _Toc99548469 \h </w:instrText>
      </w:r>
      <w:r>
        <w:fldChar w:fldCharType="separate"/>
      </w:r>
      <w:r>
        <w:t>1</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"_Toc99548470" </w:instrText>
      </w:r>
      <w:r>
        <w:fldChar w:fldCharType="separate"/>
      </w:r>
      <w:r>
        <w:rPr>
          <w:rStyle w:val="37"/>
          <w14:scene3d>
            <w14:lightRig w14:rig="threePt" w14:dir="t">
              <w14:rot w14:lat="0" w14:lon="0" w14:rev="0"/>
            </w14:lightRig>
          </w14:scene3d>
        </w:rPr>
        <w:t>3.2</w:t>
      </w:r>
      <w:r>
        <w:rPr>
          <w:rStyle w:val="37"/>
        </w:rPr>
        <w:t xml:space="preserve"> 缩略语</w:t>
      </w:r>
      <w:r>
        <w:tab/>
      </w:r>
      <w:r>
        <w:fldChar w:fldCharType="begin"/>
      </w:r>
      <w:r>
        <w:instrText xml:space="preserve"> PAGEREF _Toc99548470 \h </w:instrText>
      </w:r>
      <w:r>
        <w:fldChar w:fldCharType="separate"/>
      </w:r>
      <w:r>
        <w:t>1</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"_Toc99548471" </w:instrText>
      </w:r>
      <w:r>
        <w:fldChar w:fldCharType="separate"/>
      </w:r>
      <w:r>
        <w:rPr>
          <w:rStyle w:val="37"/>
        </w:rPr>
        <w:t>4 总则</w:t>
      </w:r>
      <w:r>
        <w:tab/>
      </w:r>
      <w:r>
        <w:fldChar w:fldCharType="begin"/>
      </w:r>
      <w:r>
        <w:instrText xml:space="preserve"> PAGEREF _Toc99548471 \h </w:instrText>
      </w:r>
      <w:r>
        <w:fldChar w:fldCharType="separate"/>
      </w:r>
      <w:r>
        <w:t>1</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"_Toc99548473" </w:instrText>
      </w:r>
      <w:r>
        <w:fldChar w:fldCharType="separate"/>
      </w:r>
      <w:r>
        <w:rPr>
          <w:rStyle w:val="37"/>
        </w:rPr>
        <w:t>5 系统架构及要求</w:t>
      </w:r>
      <w:r>
        <w:tab/>
      </w:r>
      <w:r>
        <w:fldChar w:fldCharType="begin"/>
      </w:r>
      <w:r>
        <w:instrText xml:space="preserve"> PAGEREF _Toc99548473 \h </w:instrText>
      </w:r>
      <w:r>
        <w:fldChar w:fldCharType="separate"/>
      </w:r>
      <w:r>
        <w:t>2</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"_Toc99548474" </w:instrText>
      </w:r>
      <w:r>
        <w:fldChar w:fldCharType="separate"/>
      </w:r>
      <w:r>
        <w:rPr>
          <w:rStyle w:val="37"/>
        </w:rPr>
        <w:t>6 系统功能要求</w:t>
      </w:r>
      <w:r>
        <w:tab/>
      </w:r>
      <w:r>
        <w:fldChar w:fldCharType="begin"/>
      </w:r>
      <w:r>
        <w:instrText xml:space="preserve"> PAGEREF _Toc99548474 \h </w:instrText>
      </w:r>
      <w:r>
        <w:fldChar w:fldCharType="separate"/>
      </w:r>
      <w:r>
        <w:t>3</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"_Toc99548475" </w:instrText>
      </w:r>
      <w:r>
        <w:fldChar w:fldCharType="separate"/>
      </w:r>
      <w:r>
        <w:rPr>
          <w:rStyle w:val="37"/>
          <w14:scene3d>
            <w14:lightRig w14:rig="threePt" w14:dir="t">
              <w14:rot w14:lat="0" w14:lon="0" w14:rev="0"/>
            </w14:lightRig>
          </w14:scene3d>
        </w:rPr>
        <w:t>6.1</w:t>
      </w:r>
      <w:r>
        <w:rPr>
          <w:rStyle w:val="37"/>
        </w:rPr>
        <w:t xml:space="preserve"> 基础维护管理</w:t>
      </w:r>
      <w:r>
        <w:tab/>
      </w:r>
      <w:r>
        <w:fldChar w:fldCharType="begin"/>
      </w:r>
      <w:r>
        <w:instrText xml:space="preserve"> PAGEREF _Toc99548475 \h </w:instrText>
      </w:r>
      <w:r>
        <w:fldChar w:fldCharType="separate"/>
      </w:r>
      <w:r>
        <w:t>3</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"_Toc99548476" </w:instrText>
      </w:r>
      <w:r>
        <w:fldChar w:fldCharType="separate"/>
      </w:r>
      <w:r>
        <w:rPr>
          <w:rStyle w:val="37"/>
          <w14:scene3d>
            <w14:lightRig w14:rig="threePt" w14:dir="t">
              <w14:rot w14:lat="0" w14:lon="0" w14:rev="0"/>
            </w14:lightRig>
          </w14:scene3d>
        </w:rPr>
        <w:t>6.2</w:t>
      </w:r>
      <w:r>
        <w:rPr>
          <w:rStyle w:val="37"/>
        </w:rPr>
        <w:t xml:space="preserve"> 安全教育培训</w:t>
      </w:r>
      <w:r>
        <w:tab/>
      </w:r>
      <w:r>
        <w:fldChar w:fldCharType="begin"/>
      </w:r>
      <w:r>
        <w:instrText xml:space="preserve"> PAGEREF _Toc99548476 \h </w:instrText>
      </w:r>
      <w:r>
        <w:fldChar w:fldCharType="separate"/>
      </w:r>
      <w:r>
        <w:t>5</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"_Toc99548477" </w:instrText>
      </w:r>
      <w:r>
        <w:fldChar w:fldCharType="separate"/>
      </w:r>
      <w:r>
        <w:rPr>
          <w:rStyle w:val="37"/>
          <w14:scene3d>
            <w14:lightRig w14:rig="threePt" w14:dir="t">
              <w14:rot w14:lat="0" w14:lon="0" w14:rev="0"/>
            </w14:lightRig>
          </w14:scene3d>
        </w:rPr>
        <w:t>6.3</w:t>
      </w:r>
      <w:r>
        <w:rPr>
          <w:rStyle w:val="37"/>
        </w:rPr>
        <w:t xml:space="preserve"> 安环投入</w:t>
      </w:r>
      <w:r>
        <w:tab/>
      </w:r>
      <w:r>
        <w:fldChar w:fldCharType="begin"/>
      </w:r>
      <w:r>
        <w:instrText xml:space="preserve"> PAGEREF _Toc99548477 \h </w:instrText>
      </w:r>
      <w:r>
        <w:fldChar w:fldCharType="separate"/>
      </w:r>
      <w:r>
        <w:t>6</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"_Toc99548478" </w:instrText>
      </w:r>
      <w:r>
        <w:fldChar w:fldCharType="separate"/>
      </w:r>
      <w:r>
        <w:rPr>
          <w:rStyle w:val="37"/>
          <w14:scene3d>
            <w14:lightRig w14:rig="threePt" w14:dir="t">
              <w14:rot w14:lat="0" w14:lon="0" w14:rev="0"/>
            </w14:lightRig>
          </w14:scene3d>
        </w:rPr>
        <w:t>6.4</w:t>
      </w:r>
      <w:r>
        <w:rPr>
          <w:rStyle w:val="37"/>
        </w:rPr>
        <w:t xml:space="preserve"> 安委会组织</w:t>
      </w:r>
      <w:r>
        <w:tab/>
      </w:r>
      <w:r>
        <w:fldChar w:fldCharType="begin"/>
      </w:r>
      <w:r>
        <w:instrText xml:space="preserve"> PAGEREF _Toc99548478 \h </w:instrText>
      </w:r>
      <w:r>
        <w:fldChar w:fldCharType="separate"/>
      </w:r>
      <w:r>
        <w:t>6</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"_Toc99548479" </w:instrText>
      </w:r>
      <w:r>
        <w:fldChar w:fldCharType="separate"/>
      </w:r>
      <w:r>
        <w:rPr>
          <w:rStyle w:val="37"/>
          <w14:scene3d>
            <w14:lightRig w14:rig="threePt" w14:dir="t">
              <w14:rot w14:lat="0" w14:lon="0" w14:rev="0"/>
            </w14:lightRig>
          </w14:scene3d>
        </w:rPr>
        <w:t>6.5</w:t>
      </w:r>
      <w:r>
        <w:rPr>
          <w:rStyle w:val="37"/>
        </w:rPr>
        <w:t xml:space="preserve"> 职责与目标</w:t>
      </w:r>
      <w:r>
        <w:tab/>
      </w:r>
      <w:r>
        <w:fldChar w:fldCharType="begin"/>
      </w:r>
      <w:r>
        <w:instrText xml:space="preserve"> PAGEREF _Toc99548479 \h </w:instrText>
      </w:r>
      <w:r>
        <w:fldChar w:fldCharType="separate"/>
      </w:r>
      <w:r>
        <w:t>7</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"_Toc99548480" </w:instrText>
      </w:r>
      <w:r>
        <w:fldChar w:fldCharType="separate"/>
      </w:r>
      <w:r>
        <w:rPr>
          <w:rStyle w:val="37"/>
          <w14:scene3d>
            <w14:lightRig w14:rig="threePt" w14:dir="t">
              <w14:rot w14:lat="0" w14:lon="0" w14:rev="0"/>
            </w14:lightRig>
          </w14:scene3d>
        </w:rPr>
        <w:t>6.6</w:t>
      </w:r>
      <w:r>
        <w:rPr>
          <w:rStyle w:val="37"/>
        </w:rPr>
        <w:t xml:space="preserve"> 设备设施管理</w:t>
      </w:r>
      <w:r>
        <w:tab/>
      </w:r>
      <w:r>
        <w:fldChar w:fldCharType="begin"/>
      </w:r>
      <w:r>
        <w:instrText xml:space="preserve"> PAGEREF _Toc99548480 \h </w:instrText>
      </w:r>
      <w:r>
        <w:fldChar w:fldCharType="separate"/>
      </w:r>
      <w:r>
        <w:t>8</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"_Toc99548481" </w:instrText>
      </w:r>
      <w:r>
        <w:fldChar w:fldCharType="separate"/>
      </w:r>
      <w:r>
        <w:rPr>
          <w:rStyle w:val="37"/>
          <w14:scene3d>
            <w14:lightRig w14:rig="threePt" w14:dir="t">
              <w14:rot w14:lat="0" w14:lon="0" w14:rev="0"/>
            </w14:lightRig>
          </w14:scene3d>
        </w:rPr>
        <w:t>6.7</w:t>
      </w:r>
      <w:r>
        <w:rPr>
          <w:rStyle w:val="37"/>
        </w:rPr>
        <w:t xml:space="preserve"> 安全管理</w:t>
      </w:r>
      <w:r>
        <w:tab/>
      </w:r>
      <w:r>
        <w:fldChar w:fldCharType="begin"/>
      </w:r>
      <w:r>
        <w:instrText xml:space="preserve"> PAGEREF _Toc99548481 \h </w:instrText>
      </w:r>
      <w:r>
        <w:fldChar w:fldCharType="separate"/>
      </w:r>
      <w:r>
        <w:t>9</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"_Toc99548482" </w:instrText>
      </w:r>
      <w:r>
        <w:fldChar w:fldCharType="separate"/>
      </w:r>
      <w:r>
        <w:rPr>
          <w:rStyle w:val="37"/>
          <w14:scene3d>
            <w14:lightRig w14:rig="threePt" w14:dir="t">
              <w14:rot w14:lat="0" w14:lon="0" w14:rev="0"/>
            </w14:lightRig>
          </w14:scene3d>
        </w:rPr>
        <w:t>6.8</w:t>
      </w:r>
      <w:r>
        <w:rPr>
          <w:rStyle w:val="37"/>
        </w:rPr>
        <w:t xml:space="preserve"> 环境管理</w:t>
      </w:r>
      <w:r>
        <w:tab/>
      </w:r>
      <w:r>
        <w:fldChar w:fldCharType="begin"/>
      </w:r>
      <w:r>
        <w:instrText xml:space="preserve"> PAGEREF _Toc99548482 \h </w:instrText>
      </w:r>
      <w:r>
        <w:fldChar w:fldCharType="separate"/>
      </w:r>
      <w:r>
        <w:t>14</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"_Toc99548483" </w:instrText>
      </w:r>
      <w:r>
        <w:fldChar w:fldCharType="separate"/>
      </w:r>
      <w:r>
        <w:rPr>
          <w:rStyle w:val="37"/>
          <w14:scene3d>
            <w14:lightRig w14:rig="threePt" w14:dir="t">
              <w14:rot w14:lat="0" w14:lon="0" w14:rev="0"/>
            </w14:lightRig>
          </w14:scene3d>
        </w:rPr>
        <w:t>6.9</w:t>
      </w:r>
      <w:r>
        <w:rPr>
          <w:rStyle w:val="37"/>
        </w:rPr>
        <w:t xml:space="preserve"> 职业健康管理</w:t>
      </w:r>
      <w:r>
        <w:tab/>
      </w:r>
      <w:r>
        <w:fldChar w:fldCharType="begin"/>
      </w:r>
      <w:r>
        <w:instrText xml:space="preserve"> PAGEREF _Toc99548483 \h </w:instrText>
      </w:r>
      <w:r>
        <w:fldChar w:fldCharType="separate"/>
      </w:r>
      <w:r>
        <w:t>15</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"_Toc99548484" </w:instrText>
      </w:r>
      <w:r>
        <w:fldChar w:fldCharType="separate"/>
      </w:r>
      <w:r>
        <w:rPr>
          <w:rStyle w:val="37"/>
          <w14:scene3d>
            <w14:lightRig w14:rig="threePt" w14:dir="t">
              <w14:rot w14:lat="0" w14:lon="0" w14:rev="0"/>
            </w14:lightRig>
          </w14:scene3d>
        </w:rPr>
        <w:t>6.10</w:t>
      </w:r>
      <w:r>
        <w:rPr>
          <w:rStyle w:val="37"/>
        </w:rPr>
        <w:t xml:space="preserve"> 可视化管理（可选）</w:t>
      </w:r>
      <w:r>
        <w:tab/>
      </w:r>
      <w:r>
        <w:fldChar w:fldCharType="begin"/>
      </w:r>
      <w:r>
        <w:instrText xml:space="preserve"> PAGEREF _Toc99548484 \h </w:instrText>
      </w:r>
      <w:r>
        <w:fldChar w:fldCharType="separate"/>
      </w:r>
      <w:r>
        <w:t>19</w:t>
      </w:r>
      <w:r>
        <w:fldChar w:fldCharType="end"/>
      </w:r>
      <w:r>
        <w:fldChar w:fldCharType="end"/>
      </w:r>
    </w:p>
    <w:p>
      <w:pPr>
        <w:pStyle w:val="26"/>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"_Toc99548485" </w:instrText>
      </w:r>
      <w:r>
        <w:fldChar w:fldCharType="separate"/>
      </w:r>
      <w:r>
        <w:rPr>
          <w:rStyle w:val="37"/>
          <w14:scene3d>
            <w14:lightRig w14:rig="threePt" w14:dir="t">
              <w14:rot w14:lat="0" w14:lon="0" w14:rev="0"/>
            </w14:lightRig>
          </w14:scene3d>
        </w:rPr>
        <w:t>6.11</w:t>
      </w:r>
      <w:r>
        <w:rPr>
          <w:rStyle w:val="37"/>
        </w:rPr>
        <w:t xml:space="preserve"> 物联监控（可选）</w:t>
      </w:r>
      <w:r>
        <w:tab/>
      </w:r>
      <w:r>
        <w:fldChar w:fldCharType="begin"/>
      </w:r>
      <w:r>
        <w:instrText xml:space="preserve"> PAGEREF _Toc99548485 \h </w:instrText>
      </w:r>
      <w:r>
        <w:fldChar w:fldCharType="separate"/>
      </w:r>
      <w:r>
        <w:t>19</w:t>
      </w:r>
      <w:r>
        <w:fldChar w:fldCharType="end"/>
      </w:r>
      <w:r>
        <w:fldChar w:fldCharType="end"/>
      </w:r>
    </w:p>
    <w:p>
      <w:pPr>
        <w:pStyle w:val="61"/>
        <w:keepNext w:val="0"/>
        <w:keepLines w:val="0"/>
        <w:pageBreakBefore w:val="0"/>
        <w:kinsoku/>
        <w:wordWrap/>
        <w:overflowPunct/>
        <w:topLinePunct w:val="0"/>
        <w:bidi w:val="0"/>
        <w:snapToGrid/>
        <w:spacing w:line="240" w:lineRule="auto"/>
        <w:ind w:firstLine="420"/>
        <w:textAlignment w:val="auto"/>
      </w:pPr>
      <w:r>
        <w:fldChar w:fldCharType="end"/>
      </w:r>
      <w:bookmarkStart w:id="21" w:name="muci"/>
      <w:bookmarkEnd w:id="21"/>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TOC \o "9-9" \h \t "标准文件_正文图标题,1,标准文件_附录图标题,1" </w:instrText>
      </w:r>
      <w:r>
        <w:fldChar w:fldCharType="separate"/>
      </w:r>
      <w:r>
        <w:fldChar w:fldCharType="begin"/>
      </w:r>
      <w:r>
        <w:instrText xml:space="preserve"> HYPERLINK \l "_Toc99548396" </w:instrText>
      </w:r>
      <w:r>
        <w:fldChar w:fldCharType="separate"/>
      </w:r>
      <w:r>
        <w:rPr>
          <w:rStyle w:val="37"/>
        </w:rPr>
        <w:t>图1  铸造企业EHS系统架构图</w:t>
      </w:r>
      <w:r>
        <w:tab/>
      </w:r>
      <w:r>
        <w:fldChar w:fldCharType="begin"/>
      </w:r>
      <w:r>
        <w:instrText xml:space="preserve"> PAGEREF _Toc99548396 \h </w:instrText>
      </w:r>
      <w:r>
        <w:fldChar w:fldCharType="separate"/>
      </w:r>
      <w:r>
        <w:t>2</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"_Toc99548397" </w:instrText>
      </w:r>
      <w:r>
        <w:fldChar w:fldCharType="separate"/>
      </w:r>
      <w:r>
        <w:rPr>
          <w:rStyle w:val="37"/>
        </w:rPr>
        <w:t>图2  铸造企业EHS系统功能架构图</w:t>
      </w:r>
      <w:r>
        <w:tab/>
      </w:r>
      <w:r>
        <w:fldChar w:fldCharType="begin"/>
      </w:r>
      <w:r>
        <w:instrText xml:space="preserve"> PAGEREF _Toc99548397 \h </w:instrText>
      </w:r>
      <w:r>
        <w:fldChar w:fldCharType="separate"/>
      </w:r>
      <w:r>
        <w:t>3</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"_Toc99548398" </w:instrText>
      </w:r>
      <w:r>
        <w:fldChar w:fldCharType="separate"/>
      </w:r>
      <w:r>
        <w:rPr>
          <w:rStyle w:val="37"/>
        </w:rPr>
        <w:t>图3  安全教育培训功能架构图</w:t>
      </w:r>
      <w:r>
        <w:tab/>
      </w:r>
      <w:r>
        <w:fldChar w:fldCharType="begin"/>
      </w:r>
      <w:r>
        <w:instrText xml:space="preserve"> PAGEREF _Toc99548398 \h </w:instrText>
      </w:r>
      <w:r>
        <w:fldChar w:fldCharType="separate"/>
      </w:r>
      <w:r>
        <w:t>5</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"_Toc99548399" </w:instrText>
      </w:r>
      <w:r>
        <w:fldChar w:fldCharType="separate"/>
      </w:r>
      <w:r>
        <w:rPr>
          <w:rStyle w:val="37"/>
        </w:rPr>
        <w:t>图4  安委会组织机构功能架构图</w:t>
      </w:r>
      <w:r>
        <w:tab/>
      </w:r>
      <w:r>
        <w:fldChar w:fldCharType="begin"/>
      </w:r>
      <w:r>
        <w:instrText xml:space="preserve"> PAGEREF _Toc99548399 \h </w:instrText>
      </w:r>
      <w:r>
        <w:fldChar w:fldCharType="separate"/>
      </w:r>
      <w:r>
        <w:t>7</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"_Toc99548400" </w:instrText>
      </w:r>
      <w:r>
        <w:fldChar w:fldCharType="separate"/>
      </w:r>
      <w:r>
        <w:rPr>
          <w:rStyle w:val="37"/>
        </w:rPr>
        <w:t>图5  设备设施功能架构图</w:t>
      </w:r>
      <w:r>
        <w:tab/>
      </w:r>
      <w:r>
        <w:fldChar w:fldCharType="begin"/>
      </w:r>
      <w:r>
        <w:instrText xml:space="preserve"> PAGEREF _Toc99548400 \h </w:instrText>
      </w:r>
      <w:r>
        <w:fldChar w:fldCharType="separate"/>
      </w:r>
      <w:r>
        <w:t>8</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"_Toc99548401" </w:instrText>
      </w:r>
      <w:r>
        <w:fldChar w:fldCharType="separate"/>
      </w:r>
      <w:r>
        <w:rPr>
          <w:rStyle w:val="37"/>
        </w:rPr>
        <w:t>图6  风险辨识管控功能架构图</w:t>
      </w:r>
      <w:r>
        <w:tab/>
      </w:r>
      <w:r>
        <w:fldChar w:fldCharType="begin"/>
      </w:r>
      <w:r>
        <w:instrText xml:space="preserve"> PAGEREF _Toc99548401 \h </w:instrText>
      </w:r>
      <w:r>
        <w:fldChar w:fldCharType="separate"/>
      </w:r>
      <w:r>
        <w:t>9</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"_Toc99548402" </w:instrText>
      </w:r>
      <w:r>
        <w:fldChar w:fldCharType="separate"/>
      </w:r>
      <w:r>
        <w:rPr>
          <w:rStyle w:val="37"/>
        </w:rPr>
        <w:t>图7  隐患排查治理功能架构图</w:t>
      </w:r>
      <w:r>
        <w:tab/>
      </w:r>
      <w:r>
        <w:fldChar w:fldCharType="begin"/>
      </w:r>
      <w:r>
        <w:instrText xml:space="preserve"> PAGEREF _Toc99548402 \h </w:instrText>
      </w:r>
      <w:r>
        <w:fldChar w:fldCharType="separate"/>
      </w:r>
      <w:r>
        <w:t>10</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"_Toc99548403" </w:instrText>
      </w:r>
      <w:r>
        <w:fldChar w:fldCharType="separate"/>
      </w:r>
      <w:r>
        <w:rPr>
          <w:rStyle w:val="37"/>
        </w:rPr>
        <w:t>图8  应急管理功能架构图</w:t>
      </w:r>
      <w:r>
        <w:tab/>
      </w:r>
      <w:r>
        <w:fldChar w:fldCharType="begin"/>
      </w:r>
      <w:r>
        <w:instrText xml:space="preserve"> PAGEREF _Toc99548403 \h </w:instrText>
      </w:r>
      <w:r>
        <w:fldChar w:fldCharType="separate"/>
      </w:r>
      <w:r>
        <w:t>11</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"_Toc99548404" </w:instrText>
      </w:r>
      <w:r>
        <w:fldChar w:fldCharType="separate"/>
      </w:r>
      <w:r>
        <w:rPr>
          <w:rStyle w:val="37"/>
        </w:rPr>
        <w:t>图9  消防管理功能架构图</w:t>
      </w:r>
      <w:r>
        <w:tab/>
      </w:r>
      <w:r>
        <w:fldChar w:fldCharType="begin"/>
      </w:r>
      <w:r>
        <w:instrText xml:space="preserve"> PAGEREF _Toc99548404 \h </w:instrText>
      </w:r>
      <w:r>
        <w:fldChar w:fldCharType="separate"/>
      </w:r>
      <w:r>
        <w:t>12</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"_Toc99548405" </w:instrText>
      </w:r>
      <w:r>
        <w:fldChar w:fldCharType="separate"/>
      </w:r>
      <w:r>
        <w:rPr>
          <w:rStyle w:val="37"/>
        </w:rPr>
        <w:t>图10  事故事件管理功能架构图</w:t>
      </w:r>
      <w:r>
        <w:tab/>
      </w:r>
      <w:r>
        <w:fldChar w:fldCharType="begin"/>
      </w:r>
      <w:r>
        <w:instrText xml:space="preserve"> PAGEREF _Toc99548405 \h </w:instrText>
      </w:r>
      <w:r>
        <w:fldChar w:fldCharType="separate"/>
      </w:r>
      <w:r>
        <w:t>13</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"_Toc99548406" </w:instrText>
      </w:r>
      <w:r>
        <w:fldChar w:fldCharType="separate"/>
      </w:r>
      <w:r>
        <w:rPr>
          <w:rStyle w:val="37"/>
        </w:rPr>
        <w:t>图11  环境管理功能架构图</w:t>
      </w:r>
      <w:r>
        <w:tab/>
      </w:r>
      <w:r>
        <w:fldChar w:fldCharType="begin"/>
      </w:r>
      <w:r>
        <w:instrText xml:space="preserve"> PAGEREF _Toc99548406 \h </w:instrText>
      </w:r>
      <w:r>
        <w:fldChar w:fldCharType="separate"/>
      </w:r>
      <w:r>
        <w:t>14</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"_Toc99548407" </w:instrText>
      </w:r>
      <w:r>
        <w:fldChar w:fldCharType="separate"/>
      </w:r>
      <w:r>
        <w:rPr>
          <w:rStyle w:val="37"/>
        </w:rPr>
        <w:t>图12  职业健康管理功能架构图</w:t>
      </w:r>
      <w:r>
        <w:tab/>
      </w:r>
      <w:r>
        <w:fldChar w:fldCharType="begin"/>
      </w:r>
      <w:r>
        <w:instrText xml:space="preserve"> PAGEREF _Toc99548407 \h </w:instrText>
      </w:r>
      <w:r>
        <w:fldChar w:fldCharType="separate"/>
      </w:r>
      <w:r>
        <w:t>16</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"_Toc99548408" </w:instrText>
      </w:r>
      <w:r>
        <w:fldChar w:fldCharType="separate"/>
      </w:r>
      <w:r>
        <w:rPr>
          <w:rStyle w:val="37"/>
        </w:rPr>
        <w:t>图13  体检管理功能架构图</w:t>
      </w:r>
      <w:r>
        <w:tab/>
      </w:r>
      <w:r>
        <w:fldChar w:fldCharType="begin"/>
      </w:r>
      <w:r>
        <w:instrText xml:space="preserve"> PAGEREF _Toc99548408 \h </w:instrText>
      </w:r>
      <w:r>
        <w:fldChar w:fldCharType="separate"/>
      </w:r>
      <w:r>
        <w:t>17</w:t>
      </w:r>
      <w:r>
        <w:fldChar w:fldCharType="end"/>
      </w:r>
      <w:r>
        <w:fldChar w:fldCharType="end"/>
      </w:r>
    </w:p>
    <w:p>
      <w:pPr>
        <w:pStyle w:val="21"/>
        <w:keepNext w:val="0"/>
        <w:keepLines w:val="0"/>
        <w:pageBreakBefore w:val="0"/>
        <w:tabs>
          <w:tab w:val="right" w:leader="dot" w:pos="9344"/>
        </w:tabs>
        <w:kinsoku/>
        <w:wordWrap/>
        <w:overflowPunct/>
        <w:topLinePunct w:val="0"/>
        <w:bidi w:val="0"/>
        <w:snapToGrid/>
        <w:spacing w:line="240" w:lineRule="auto"/>
        <w:textAlignment w:val="auto"/>
        <w:rPr>
          <w:rFonts w:asciiTheme="minorHAnsi" w:hAnsiTheme="minorHAnsi" w:eastAsiaTheme="minorEastAsia" w:cstheme="minorBidi"/>
          <w:szCs w:val="22"/>
        </w:rPr>
      </w:pPr>
      <w:r>
        <w:fldChar w:fldCharType="begin"/>
      </w:r>
      <w:r>
        <w:instrText xml:space="preserve"> HYPERLINK \l "_Toc99548409" </w:instrText>
      </w:r>
      <w:r>
        <w:fldChar w:fldCharType="separate"/>
      </w:r>
      <w:r>
        <w:rPr>
          <w:rStyle w:val="37"/>
        </w:rPr>
        <w:t>图14  劳保管理功能架构图</w:t>
      </w:r>
      <w:r>
        <w:tab/>
      </w:r>
      <w:r>
        <w:fldChar w:fldCharType="begin"/>
      </w:r>
      <w:r>
        <w:instrText xml:space="preserve"> PAGEREF _Toc99548409 \h </w:instrText>
      </w:r>
      <w:r>
        <w:fldChar w:fldCharType="separate"/>
      </w:r>
      <w:r>
        <w:t>18</w:t>
      </w:r>
      <w:r>
        <w:fldChar w:fldCharType="end"/>
      </w:r>
      <w:r>
        <w:fldChar w:fldCharType="end"/>
      </w:r>
    </w:p>
    <w:p>
      <w:pPr>
        <w:pStyle w:val="61"/>
        <w:keepNext w:val="0"/>
        <w:keepLines w:val="0"/>
        <w:pageBreakBefore w:val="0"/>
        <w:kinsoku/>
        <w:wordWrap/>
        <w:overflowPunct/>
        <w:topLinePunct w:val="0"/>
        <w:bidi w:val="0"/>
        <w:snapToGrid/>
        <w:spacing w:line="240" w:lineRule="auto"/>
        <w:ind w:firstLine="420"/>
        <w:textAlignment w:val="auto"/>
      </w:pPr>
      <w:r>
        <w:fldChar w:fldCharType="end"/>
      </w:r>
    </w:p>
    <w:p>
      <w:pPr>
        <w:pStyle w:val="61"/>
        <w:ind w:firstLine="420"/>
        <w:sectPr>
          <w:headerReference r:id="rId11" w:type="default"/>
          <w:footerReference r:id="rId12" w:type="default"/>
          <w:pgSz w:w="11906" w:h="16838"/>
          <w:pgMar w:top="2410" w:right="1134" w:bottom="1134" w:left="1134" w:header="1418" w:footer="1134" w:gutter="284"/>
          <w:pgNumType w:fmt="upperRoman" w:start="1"/>
          <w:cols w:space="425" w:num="1"/>
          <w:formProt w:val="0"/>
          <w:docGrid w:linePitch="312" w:charSpace="0"/>
        </w:sectPr>
      </w:pPr>
    </w:p>
    <w:bookmarkEnd w:id="14"/>
    <w:p>
      <w:pPr>
        <w:pStyle w:val="94"/>
        <w:spacing w:after="360"/>
      </w:pPr>
      <w:bookmarkStart w:id="22" w:name="_Toc99548463"/>
      <w:bookmarkStart w:id="23" w:name="BookMark2"/>
      <w:r>
        <w:rPr>
          <w:rFonts w:hint="eastAsia"/>
          <w:spacing w:val="320"/>
        </w:rPr>
        <w:t>前</w:t>
      </w:r>
      <w:r>
        <w:rPr>
          <w:rFonts w:hint="eastAsia"/>
        </w:rPr>
        <w:t>言</w:t>
      </w:r>
      <w:bookmarkEnd w:id="22"/>
    </w:p>
    <w:p>
      <w:pPr>
        <w:pStyle w:val="236"/>
        <w:keepNext w:val="0"/>
        <w:keepLines w:val="0"/>
        <w:pageBreakBefore w:val="0"/>
        <w:widowControl/>
        <w:kinsoku/>
        <w:wordWrap/>
        <w:overflowPunct/>
        <w:topLinePunct w:val="0"/>
        <w:autoSpaceDE w:val="0"/>
        <w:autoSpaceDN w:val="0"/>
        <w:bidi w:val="0"/>
        <w:adjustRightInd/>
        <w:snapToGrid/>
        <w:textAlignment w:val="auto"/>
        <w:rPr>
          <w:color w:val="000000"/>
          <w:highlight w:val="none"/>
        </w:rPr>
      </w:pPr>
      <w:r>
        <w:rPr>
          <w:rFonts w:hint="eastAsia"/>
          <w:color w:val="000000"/>
        </w:rPr>
        <w:t>本文件按照GB/T　1.1—2020《标准化工作导则　第1部分：标准化文件的结构和起草规则》的规定起草。</w:t>
      </w:r>
    </w:p>
    <w:p>
      <w:pPr>
        <w:pStyle w:val="236"/>
        <w:keepNext w:val="0"/>
        <w:keepLines w:val="0"/>
        <w:pageBreakBefore w:val="0"/>
        <w:widowControl/>
        <w:kinsoku/>
        <w:wordWrap/>
        <w:overflowPunct/>
        <w:topLinePunct w:val="0"/>
        <w:autoSpaceDE w:val="0"/>
        <w:autoSpaceDN w:val="0"/>
        <w:bidi w:val="0"/>
        <w:adjustRightInd/>
        <w:snapToGrid/>
        <w:textAlignment w:val="auto"/>
        <w:rPr>
          <w:color w:val="000000"/>
          <w:highlight w:val="none"/>
        </w:rPr>
      </w:pPr>
      <w:r>
        <w:rPr>
          <w:rFonts w:hint="eastAsia"/>
          <w:color w:val="000000"/>
          <w:highlight w:val="none"/>
        </w:rPr>
        <w:t>请注意本文件的某些内容可能涉及专利。本文件的发布机构不承担识别专利的责任。</w:t>
      </w:r>
    </w:p>
    <w:p>
      <w:pPr>
        <w:pStyle w:val="236"/>
        <w:keepNext w:val="0"/>
        <w:keepLines w:val="0"/>
        <w:pageBreakBefore w:val="0"/>
        <w:widowControl/>
        <w:kinsoku/>
        <w:wordWrap/>
        <w:overflowPunct/>
        <w:topLinePunct w:val="0"/>
        <w:autoSpaceDE w:val="0"/>
        <w:autoSpaceDN w:val="0"/>
        <w:bidi w:val="0"/>
        <w:adjustRightInd/>
        <w:snapToGrid/>
        <w:textAlignment w:val="auto"/>
        <w:rPr>
          <w:color w:val="000000"/>
          <w:highlight w:val="none"/>
        </w:rPr>
      </w:pPr>
      <w:r>
        <w:rPr>
          <w:rFonts w:hint="eastAsia"/>
          <w:color w:val="000000"/>
          <w:highlight w:val="none"/>
        </w:rPr>
        <w:t>本文件由</w:t>
      </w:r>
      <w:r>
        <w:rPr>
          <w:rFonts w:hint="eastAsia"/>
          <w:highlight w:val="none"/>
        </w:rPr>
        <w:t>中国铸造协会智能铸造工作委员会</w:t>
      </w:r>
      <w:r>
        <w:rPr>
          <w:rFonts w:hint="eastAsia"/>
          <w:color w:val="000000"/>
          <w:highlight w:val="none"/>
        </w:rPr>
        <w:t>提出。</w:t>
      </w:r>
    </w:p>
    <w:p>
      <w:pPr>
        <w:pStyle w:val="236"/>
        <w:keepNext w:val="0"/>
        <w:keepLines w:val="0"/>
        <w:pageBreakBefore w:val="0"/>
        <w:widowControl/>
        <w:kinsoku/>
        <w:wordWrap/>
        <w:overflowPunct/>
        <w:topLinePunct w:val="0"/>
        <w:autoSpaceDE w:val="0"/>
        <w:autoSpaceDN w:val="0"/>
        <w:bidi w:val="0"/>
        <w:adjustRightInd/>
        <w:snapToGrid/>
        <w:textAlignment w:val="auto"/>
        <w:rPr>
          <w:color w:val="000000"/>
          <w:highlight w:val="none"/>
        </w:rPr>
      </w:pPr>
      <w:r>
        <w:rPr>
          <w:rFonts w:hint="eastAsia"/>
          <w:color w:val="000000"/>
          <w:highlight w:val="none"/>
        </w:rPr>
        <w:t>本文件由</w:t>
      </w:r>
      <w:r>
        <w:rPr>
          <w:rFonts w:hint="eastAsia"/>
          <w:highlight w:val="none"/>
        </w:rPr>
        <w:t>中国铸造协会</w:t>
      </w:r>
      <w:r>
        <w:rPr>
          <w:rFonts w:hint="eastAsia"/>
          <w:color w:val="000000"/>
          <w:highlight w:val="none"/>
        </w:rPr>
        <w:t>归口。</w:t>
      </w:r>
    </w:p>
    <w:p>
      <w:pPr>
        <w:pStyle w:val="236"/>
        <w:keepNext w:val="0"/>
        <w:keepLines w:val="0"/>
        <w:pageBreakBefore w:val="0"/>
        <w:widowControl/>
        <w:kinsoku/>
        <w:wordWrap/>
        <w:overflowPunct/>
        <w:topLinePunct w:val="0"/>
        <w:autoSpaceDE w:val="0"/>
        <w:autoSpaceDN w:val="0"/>
        <w:bidi w:val="0"/>
        <w:adjustRightInd/>
        <w:snapToGrid/>
        <w:textAlignment w:val="auto"/>
        <w:rPr>
          <w:color w:val="000000"/>
          <w:highlight w:val="none"/>
        </w:rPr>
      </w:pPr>
      <w:r>
        <w:rPr>
          <w:rFonts w:hint="eastAsia"/>
          <w:color w:val="000000"/>
          <w:highlight w:val="none"/>
        </w:rPr>
        <w:t>本文件起草单位：共享智能铸造产业创新中心有限公司、天津万立鑫晟新材料技术研究院有限公司、芜湖久弘重工股份有限公司、共享装备股份有限公司、XXX。。</w:t>
      </w:r>
    </w:p>
    <w:p>
      <w:pPr>
        <w:pStyle w:val="236"/>
        <w:keepNext w:val="0"/>
        <w:keepLines w:val="0"/>
        <w:pageBreakBefore w:val="0"/>
        <w:widowControl/>
        <w:kinsoku/>
        <w:wordWrap/>
        <w:overflowPunct/>
        <w:topLinePunct w:val="0"/>
        <w:autoSpaceDE w:val="0"/>
        <w:autoSpaceDN w:val="0"/>
        <w:bidi w:val="0"/>
        <w:adjustRightInd/>
        <w:snapToGrid/>
        <w:textAlignment w:val="auto"/>
        <w:rPr>
          <w:color w:val="000000"/>
          <w:highlight w:val="none"/>
        </w:rPr>
      </w:pPr>
      <w:r>
        <w:rPr>
          <w:rFonts w:hint="eastAsia"/>
          <w:color w:val="000000"/>
          <w:highlight w:val="none"/>
        </w:rPr>
        <w:t>本文件主要起草人： 。</w:t>
      </w:r>
    </w:p>
    <w:p>
      <w:pPr>
        <w:pStyle w:val="236"/>
        <w:rPr>
          <w:color w:val="000000"/>
        </w:rPr>
      </w:pPr>
      <w:r>
        <w:rPr>
          <w:rFonts w:hint="eastAsia"/>
          <w:color w:val="000000"/>
        </w:rPr>
        <w:t>本文件为首次发布。</w:t>
      </w:r>
    </w:p>
    <w:p>
      <w:pPr>
        <w:pStyle w:val="61"/>
        <w:ind w:firstLine="420"/>
      </w:pPr>
    </w:p>
    <w:p>
      <w:pPr>
        <w:pStyle w:val="61"/>
        <w:ind w:firstLine="420"/>
      </w:pPr>
    </w:p>
    <w:p>
      <w:pPr>
        <w:pStyle w:val="61"/>
        <w:ind w:firstLine="420"/>
        <w:sectPr>
          <w:pgSz w:w="11906" w:h="16838"/>
          <w:pgMar w:top="2410" w:right="1134" w:bottom="1134" w:left="1134" w:header="1418" w:footer="1134" w:gutter="284"/>
          <w:pgNumType w:fmt="upperRoman"/>
          <w:cols w:space="425" w:num="1"/>
          <w:formProt w:val="0"/>
          <w:docGrid w:linePitch="312" w:charSpace="0"/>
        </w:sectPr>
      </w:pPr>
    </w:p>
    <w:bookmarkEnd w:id="23"/>
    <w:p>
      <w:pPr>
        <w:pStyle w:val="94"/>
        <w:spacing w:after="360"/>
      </w:pPr>
      <w:bookmarkStart w:id="24" w:name="_Toc99548464"/>
      <w:bookmarkStart w:id="25" w:name="BookMark3"/>
      <w:r>
        <w:rPr>
          <w:rFonts w:hint="eastAsia"/>
        </w:rPr>
        <w:t xml:space="preserve">引    </w:t>
      </w:r>
      <w:r>
        <w:t>言</w:t>
      </w:r>
      <w:bookmarkEnd w:id="15"/>
      <w:bookmarkEnd w:id="16"/>
      <w:bookmarkEnd w:id="17"/>
      <w:bookmarkEnd w:id="18"/>
      <w:bookmarkEnd w:id="19"/>
      <w:bookmarkEnd w:id="24"/>
    </w:p>
    <w:p>
      <w:pPr>
        <w:pStyle w:val="61"/>
        <w:ind w:firstLine="420"/>
      </w:pPr>
    </w:p>
    <w:bookmarkEnd w:id="25"/>
    <w:p>
      <w:pPr>
        <w:pStyle w:val="61"/>
        <w:ind w:firstLine="420"/>
        <w:rPr>
          <w:highlight w:val="none"/>
        </w:rPr>
      </w:pPr>
      <w:bookmarkStart w:id="26" w:name="_Toc91762063"/>
      <w:r>
        <w:rPr>
          <w:rFonts w:hint="eastAsia"/>
        </w:rPr>
        <w:t>铸造行业属于高能耗、污染严重</w:t>
      </w:r>
      <w:r>
        <w:rPr>
          <w:rFonts w:hint="eastAsia"/>
          <w:highlight w:val="none"/>
        </w:rPr>
        <w:t>的重工业，并且大型设备设施繁多、生产环境复杂，发生EHS事故的概率还是比较高的，所以铸造行业的EHS管理显得尤为重要，而传统的安全管理手段已经无法适应新时代职业健康安全管理现实需求，EHS管理系统以信息化为支撑，进而为中小型铸造企业转型升级，走向“数字化”高质量发展道路提供了解决方案和思路。</w:t>
      </w:r>
    </w:p>
    <w:p>
      <w:pPr>
        <w:pStyle w:val="61"/>
        <w:ind w:firstLine="420"/>
        <w:rPr>
          <w:highlight w:val="none"/>
        </w:rPr>
      </w:pPr>
      <w:r>
        <w:rPr>
          <w:rFonts w:hint="eastAsia"/>
          <w:highlight w:val="none"/>
        </w:rPr>
        <w:t>本文件主要结合铸造行业特点，铸造行业大型设备多、生产环境复杂，传统人工纸质记录的方法进行安全管理信息的记录与管理，导致效率低、保密性差和人工的大量浪费；随着管理时间的增加，会产生大量的文件和数据，这给查找、统计、更新和维护工作都带来了不少困难。数字化时代，越来越多企业通过软件系统进行数字化管理，快速落实安全（生产）责任制，并通过系统推进双预防机制，给铸造企业一种适用性强、可供多数参考的铸造企业EHS软件功能架构。</w:t>
      </w:r>
    </w:p>
    <w:p>
      <w:pPr>
        <w:pStyle w:val="61"/>
        <w:ind w:firstLine="420"/>
        <w:rPr>
          <w:highlight w:val="none"/>
        </w:rPr>
      </w:pPr>
      <w:r>
        <w:rPr>
          <w:rFonts w:hint="eastAsia"/>
          <w:highlight w:val="none"/>
        </w:rPr>
        <w:t>本文件主要提出铸造企业EHS系统软件功能规范，定义铸造企业环境因素、职业健康因素和设备设施达标功能。</w:t>
      </w:r>
    </w:p>
    <w:p>
      <w:pPr>
        <w:pStyle w:val="61"/>
        <w:ind w:firstLine="420"/>
        <w:rPr>
          <w:highlight w:val="none"/>
        </w:rPr>
      </w:pPr>
    </w:p>
    <w:p>
      <w:pPr>
        <w:pStyle w:val="61"/>
        <w:ind w:firstLine="420"/>
        <w:rPr>
          <w:highlight w:val="none"/>
        </w:rPr>
      </w:pPr>
      <w:r>
        <w:rPr>
          <w:rFonts w:hint="eastAsia"/>
          <w:highlight w:val="none"/>
        </w:rPr>
        <w:t>使用本文件所带来的潜在效益有：</w:t>
      </w:r>
    </w:p>
    <w:p>
      <w:pPr>
        <w:pStyle w:val="61"/>
        <w:ind w:firstLine="420"/>
      </w:pPr>
      <w:r>
        <w:rPr>
          <w:rFonts w:hint="eastAsia"/>
        </w:rPr>
        <w:t>——帮助铸造企业明确EHS系统的实施方向及功能需求；</w:t>
      </w:r>
    </w:p>
    <w:p>
      <w:pPr>
        <w:pStyle w:val="61"/>
        <w:ind w:firstLine="420"/>
      </w:pPr>
      <w:r>
        <w:rPr>
          <w:rFonts w:hint="eastAsia"/>
        </w:rPr>
        <w:t>——帮助软件开发商明确EHS系统软件功能架构、功能设计及与其他外围系统标准接口；</w:t>
      </w:r>
    </w:p>
    <w:p>
      <w:pPr>
        <w:pStyle w:val="61"/>
        <w:ind w:firstLine="420"/>
      </w:pPr>
      <w:r>
        <w:rPr>
          <w:rFonts w:hint="eastAsia"/>
        </w:rPr>
        <w:t>——降低铸造企业EHS管理软件产品开发的时间和成本。</w:t>
      </w:r>
    </w:p>
    <w:p>
      <w:pPr>
        <w:pStyle w:val="235"/>
        <w:sectPr>
          <w:pgSz w:w="11906" w:h="16838"/>
          <w:pgMar w:top="2410" w:right="1134" w:bottom="1134" w:left="1134" w:header="1418" w:footer="1134" w:gutter="284"/>
          <w:pgNumType w:fmt="upperRoman"/>
          <w:cols w:space="425" w:num="1"/>
          <w:formProt w:val="0"/>
          <w:docGrid w:linePitch="312" w:charSpace="0"/>
        </w:sectPr>
      </w:pPr>
    </w:p>
    <w:p>
      <w:pPr>
        <w:pStyle w:val="235"/>
      </w:pPr>
      <w:bookmarkStart w:id="27" w:name="_Toc99547226"/>
      <w:bookmarkStart w:id="28" w:name="_Toc99548465"/>
      <w:bookmarkStart w:id="29" w:name="_Toc99547372"/>
      <w:bookmarkStart w:id="30" w:name="_Toc99548240"/>
      <w:bookmarkStart w:id="31" w:name="_Toc19517"/>
      <w:r>
        <w:rPr>
          <w:rFonts w:hint="eastAsia"/>
        </w:rPr>
        <w:t>铸造</w:t>
      </w:r>
      <w:sdt>
        <w:sdtPr>
          <w:tag w:val="NEW_STAND_NAME"/>
          <w:id w:val="1456448939"/>
          <w:lock w:val="sdtLocked"/>
          <w:placeholder>
            <w:docPart w:val="FE6AF9988B424574BECC40D890C283F5"/>
          </w:placeholder>
        </w:sdtPr>
        <w:sdtContent>
          <w:bookmarkStart w:id="32" w:name="_Toc2660"/>
          <w:bookmarkStart w:id="33" w:name="_Toc7910"/>
          <w:bookmarkStart w:id="34" w:name="_Toc6953"/>
          <w:bookmarkStart w:id="35" w:name="_Toc25073"/>
          <w:bookmarkStart w:id="36" w:name="NEW_STAND_NAME"/>
          <w:bookmarkStart w:id="37" w:name="StandardName"/>
          <w:bookmarkStart w:id="38" w:name="_Toc8912"/>
          <w:r>
            <w:rPr>
              <w:rFonts w:hint="eastAsia"/>
            </w:rPr>
            <w:t>环境健康安全智能管理系统架构指南</w:t>
          </w:r>
        </w:sdtContent>
      </w:sdt>
      <w:bookmarkEnd w:id="26"/>
      <w:bookmarkEnd w:id="27"/>
      <w:bookmarkEnd w:id="28"/>
      <w:bookmarkEnd w:id="29"/>
      <w:bookmarkEnd w:id="30"/>
      <w:bookmarkEnd w:id="31"/>
    </w:p>
    <w:bookmarkEnd w:id="32"/>
    <w:bookmarkEnd w:id="33"/>
    <w:bookmarkEnd w:id="34"/>
    <w:bookmarkEnd w:id="35"/>
    <w:bookmarkEnd w:id="36"/>
    <w:bookmarkEnd w:id="37"/>
    <w:bookmarkEnd w:id="38"/>
    <w:p>
      <w:pPr>
        <w:pStyle w:val="109"/>
        <w:tabs>
          <w:tab w:val="left" w:pos="2904"/>
        </w:tabs>
        <w:spacing w:before="240" w:after="240"/>
      </w:pPr>
      <w:bookmarkStart w:id="39" w:name="_Toc17233333"/>
      <w:bookmarkStart w:id="40" w:name="_Toc26986771"/>
      <w:bookmarkStart w:id="41" w:name="_Toc17233325"/>
      <w:bookmarkStart w:id="42" w:name="_Toc99548241"/>
      <w:bookmarkStart w:id="43" w:name="_Toc32231"/>
      <w:bookmarkStart w:id="44" w:name="_Toc26986530"/>
      <w:bookmarkStart w:id="45" w:name="_Toc24884218"/>
      <w:bookmarkStart w:id="46" w:name="_Toc26648465"/>
      <w:bookmarkStart w:id="47" w:name="_Toc99547227"/>
      <w:bookmarkStart w:id="48" w:name="_Toc24884211"/>
      <w:bookmarkStart w:id="49" w:name="_Toc99548466"/>
      <w:bookmarkStart w:id="50" w:name="_Toc99547373"/>
      <w:bookmarkStart w:id="51" w:name="_Toc15211"/>
      <w:bookmarkStart w:id="52" w:name="_Toc26718930"/>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rPr>
        <w:tab/>
      </w:r>
    </w:p>
    <w:p>
      <w:pPr>
        <w:pStyle w:val="236"/>
        <w:rPr>
          <w:rStyle w:val="253"/>
        </w:rPr>
      </w:pPr>
      <w:bookmarkStart w:id="53" w:name="_Toc24884212"/>
      <w:bookmarkStart w:id="54" w:name="_Toc26648466"/>
      <w:bookmarkStart w:id="55" w:name="_Toc17233326"/>
      <w:bookmarkStart w:id="56" w:name="_Toc24884219"/>
      <w:bookmarkStart w:id="57" w:name="_Toc17233334"/>
      <w:r>
        <w:rPr>
          <w:rStyle w:val="253"/>
          <w:rFonts w:hint="eastAsia"/>
        </w:rPr>
        <w:t>本文件规定了铸造环境健康安全智能管理的系统架构和功能要求。</w:t>
      </w:r>
    </w:p>
    <w:p>
      <w:pPr>
        <w:pStyle w:val="236"/>
        <w:rPr>
          <w:rStyle w:val="253"/>
        </w:rPr>
      </w:pPr>
      <w:r>
        <w:rPr>
          <w:rStyle w:val="253"/>
          <w:rFonts w:hint="eastAsia"/>
        </w:rPr>
        <w:t>本文件适用于铸造环境健康安全智能管理系统设计、开发和实施。</w:t>
      </w:r>
    </w:p>
    <w:p>
      <w:pPr>
        <w:pStyle w:val="109"/>
        <w:spacing w:before="240" w:after="240"/>
      </w:pPr>
      <w:bookmarkStart w:id="58" w:name="_Toc99548467"/>
      <w:bookmarkStart w:id="59" w:name="_Toc26986772"/>
      <w:bookmarkStart w:id="60" w:name="_Toc99547374"/>
      <w:bookmarkStart w:id="61" w:name="_Toc26986531"/>
      <w:bookmarkStart w:id="62" w:name="_Toc99548242"/>
      <w:bookmarkStart w:id="63" w:name="_Toc24512"/>
      <w:bookmarkStart w:id="64" w:name="_Toc99547228"/>
      <w:bookmarkStart w:id="65" w:name="_Toc26718931"/>
      <w:r>
        <w:rPr>
          <w:rFonts w:hint="eastAsia"/>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0EC078EDBDCE42F5B7581585807708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Style w:val="253"/>
          <w:rFonts w:hint="eastAsia"/>
        </w:rPr>
      </w:sdtEndPr>
      <w:sdtContent>
        <w:p>
          <w:pPr>
            <w:pStyle w:val="61"/>
            <w:ind w:firstLine="420"/>
            <w:rPr>
              <w:rStyle w:val="253"/>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rPr>
          <w:rStyle w:val="253"/>
        </w:rPr>
      </w:pPr>
      <w:r>
        <w:rPr>
          <w:rStyle w:val="253"/>
          <w:rFonts w:hint="eastAsia"/>
        </w:rPr>
        <w:t>GB/T 45001 职业健康安全管理体系 要求及使用指南</w:t>
      </w:r>
    </w:p>
    <w:p>
      <w:pPr>
        <w:pStyle w:val="109"/>
        <w:spacing w:before="240" w:after="240"/>
        <w:rPr>
          <w:rFonts w:ascii="宋体" w:eastAsia="宋体"/>
        </w:rPr>
      </w:pPr>
      <w:bookmarkStart w:id="66" w:name="_Toc99547375"/>
      <w:bookmarkStart w:id="67" w:name="_Toc99548468"/>
      <w:bookmarkStart w:id="68" w:name="_Toc14803"/>
      <w:bookmarkStart w:id="69" w:name="_Toc99548243"/>
      <w:bookmarkStart w:id="70" w:name="_Toc99547229"/>
      <w:r>
        <w:rPr>
          <w:rFonts w:hint="eastAsia"/>
        </w:rPr>
        <w:t>术语、定义和缩略语</w:t>
      </w:r>
      <w:bookmarkEnd w:id="66"/>
      <w:bookmarkEnd w:id="67"/>
      <w:bookmarkEnd w:id="68"/>
      <w:bookmarkEnd w:id="69"/>
      <w:bookmarkEnd w:id="70"/>
    </w:p>
    <w:p>
      <w:pPr>
        <w:pStyle w:val="110"/>
        <w:spacing w:before="120" w:after="120"/>
      </w:pPr>
      <w:bookmarkStart w:id="71" w:name="_Toc14227"/>
      <w:bookmarkStart w:id="72" w:name="_Toc32067"/>
      <w:bookmarkStart w:id="73" w:name="_Toc28253"/>
      <w:bookmarkStart w:id="74" w:name="_Toc99547230"/>
      <w:bookmarkStart w:id="75" w:name="_Toc11050"/>
      <w:bookmarkStart w:id="76" w:name="_Toc17544"/>
      <w:bookmarkStart w:id="77" w:name="_Toc22397"/>
      <w:bookmarkStart w:id="78" w:name="_Toc32572"/>
      <w:bookmarkStart w:id="79" w:name="_Toc99548469"/>
      <w:bookmarkStart w:id="80" w:name="_Toc32493"/>
      <w:bookmarkStart w:id="81" w:name="_Toc99547376"/>
      <w:bookmarkStart w:id="82" w:name="_Toc16468"/>
      <w:bookmarkStart w:id="83" w:name="_Toc99548244"/>
      <w:r>
        <w:rPr>
          <w:rFonts w:hint="eastAsia"/>
        </w:rPr>
        <w:t>术语和定义</w:t>
      </w:r>
      <w:bookmarkEnd w:id="71"/>
      <w:bookmarkEnd w:id="72"/>
      <w:bookmarkEnd w:id="73"/>
      <w:bookmarkEnd w:id="74"/>
      <w:bookmarkEnd w:id="75"/>
      <w:bookmarkEnd w:id="76"/>
      <w:bookmarkEnd w:id="77"/>
      <w:bookmarkEnd w:id="78"/>
      <w:bookmarkEnd w:id="79"/>
      <w:bookmarkEnd w:id="80"/>
      <w:bookmarkEnd w:id="81"/>
      <w:bookmarkEnd w:id="82"/>
      <w:bookmarkEnd w:id="83"/>
    </w:p>
    <w:p>
      <w:pPr>
        <w:pStyle w:val="236"/>
      </w:pPr>
      <w:r>
        <w:rPr>
          <w:rStyle w:val="253"/>
          <w:rFonts w:hint="eastAsia"/>
        </w:rPr>
        <w:t>GB/T 45001-2020界定的术语和定义适用于</w:t>
      </w:r>
      <w:r>
        <w:rPr>
          <w:rFonts w:hint="eastAsia"/>
        </w:rPr>
        <w:t>本文件。</w:t>
      </w:r>
    </w:p>
    <w:p>
      <w:pPr>
        <w:pStyle w:val="110"/>
        <w:spacing w:before="120" w:after="120"/>
      </w:pPr>
      <w:bookmarkStart w:id="84" w:name="_Toc9675"/>
      <w:bookmarkStart w:id="85" w:name="_Toc1767"/>
      <w:bookmarkStart w:id="86" w:name="_Toc4552"/>
      <w:bookmarkStart w:id="87" w:name="_Toc29278"/>
      <w:bookmarkStart w:id="88" w:name="_Toc825"/>
      <w:bookmarkStart w:id="89" w:name="_Toc99547231"/>
      <w:bookmarkStart w:id="90" w:name="_Toc19843"/>
      <w:bookmarkStart w:id="91" w:name="_Toc99548470"/>
      <w:bookmarkStart w:id="92" w:name="_Toc99547377"/>
      <w:bookmarkStart w:id="93" w:name="_Toc740"/>
      <w:bookmarkStart w:id="94" w:name="_Toc99548245"/>
      <w:bookmarkStart w:id="95" w:name="_Toc10281"/>
      <w:bookmarkStart w:id="96" w:name="_Toc28882"/>
      <w:r>
        <w:rPr>
          <w:rFonts w:hint="eastAsia"/>
        </w:rPr>
        <w:t>缩略语</w:t>
      </w:r>
      <w:bookmarkEnd w:id="84"/>
      <w:bookmarkEnd w:id="85"/>
      <w:bookmarkEnd w:id="86"/>
      <w:bookmarkEnd w:id="87"/>
      <w:bookmarkEnd w:id="88"/>
      <w:bookmarkEnd w:id="89"/>
      <w:bookmarkEnd w:id="90"/>
      <w:bookmarkEnd w:id="91"/>
      <w:bookmarkEnd w:id="92"/>
      <w:bookmarkEnd w:id="93"/>
      <w:bookmarkEnd w:id="94"/>
      <w:bookmarkEnd w:id="95"/>
      <w:bookmarkEnd w:id="96"/>
    </w:p>
    <w:p>
      <w:pPr>
        <w:pStyle w:val="236"/>
      </w:pPr>
      <w:r>
        <w:rPr>
          <w:rFonts w:hint="eastAsia"/>
        </w:rPr>
        <w:t>下列缩略语适用于本文件。</w:t>
      </w:r>
    </w:p>
    <w:p>
      <w:pPr>
        <w:pStyle w:val="236"/>
      </w:pPr>
      <w:r>
        <w:rPr>
          <w:rFonts w:hint="eastAsia"/>
        </w:rPr>
        <w:t xml:space="preserve">EHS </w:t>
      </w:r>
      <w:r>
        <w:t xml:space="preserve">     </w:t>
      </w:r>
      <w:r>
        <w:rPr>
          <w:rFonts w:hint="eastAsia"/>
        </w:rPr>
        <w:t>环境、健康、安全</w:t>
      </w:r>
      <w:r>
        <w:t xml:space="preserve">             </w:t>
      </w:r>
    </w:p>
    <w:p>
      <w:pPr>
        <w:pStyle w:val="236"/>
        <w:ind w:left="6090" w:leftChars="200" w:hanging="5670" w:hangingChars="2700"/>
        <w:rPr>
          <w:highlight w:val="none"/>
        </w:rPr>
      </w:pPr>
      <w:r>
        <w:rPr>
          <w:rFonts w:hint="eastAsia"/>
        </w:rPr>
        <w:t>LEC</w:t>
      </w:r>
      <w:r>
        <w:t xml:space="preserve">    </w:t>
      </w:r>
      <w:r>
        <w:rPr>
          <w:rFonts w:hint="eastAsia"/>
        </w:rPr>
        <w:t xml:space="preserve"> </w:t>
      </w:r>
      <w:r>
        <w:t xml:space="preserve"> </w:t>
      </w:r>
      <w:r>
        <w:rPr>
          <w:rFonts w:hint="eastAsia"/>
        </w:rPr>
        <w:t xml:space="preserve">作业条件危险分析法 </w:t>
      </w:r>
      <w:r>
        <w:t xml:space="preserve"> </w:t>
      </w:r>
      <w:bookmarkStart w:id="399" w:name="_GoBack"/>
      <w:r>
        <w:rPr>
          <w:highlight w:val="none"/>
        </w:rPr>
        <w:t xml:space="preserve">         </w:t>
      </w:r>
    </w:p>
    <w:p>
      <w:pPr>
        <w:widowControl/>
        <w:adjustRightInd/>
        <w:spacing w:line="288" w:lineRule="atLeast"/>
        <w:ind w:firstLine="420" w:firstLineChars="200"/>
        <w:jc w:val="left"/>
        <w:rPr>
          <w:highlight w:val="none"/>
        </w:rPr>
      </w:pPr>
      <w:r>
        <w:rPr>
          <w:rFonts w:hint="eastAsia"/>
          <w:highlight w:val="none"/>
        </w:rPr>
        <w:t xml:space="preserve">LSR </w:t>
      </w:r>
      <w:r>
        <w:rPr>
          <w:highlight w:val="none"/>
        </w:rPr>
        <w:t xml:space="preserve">     </w:t>
      </w:r>
      <w:r>
        <w:rPr>
          <w:rFonts w:hint="eastAsia"/>
          <w:highlight w:val="none"/>
        </w:rPr>
        <w:t xml:space="preserve">风险等级评价 </w:t>
      </w:r>
      <w:r>
        <w:rPr>
          <w:highlight w:val="none"/>
        </w:rPr>
        <w:t xml:space="preserve">             </w:t>
      </w:r>
      <w:r>
        <w:rPr>
          <w:rFonts w:hint="eastAsia"/>
          <w:highlight w:val="none"/>
        </w:rPr>
        <w:t xml:space="preserve"> </w:t>
      </w:r>
      <w:r>
        <w:rPr>
          <w:highlight w:val="none"/>
        </w:rPr>
        <w:t xml:space="preserve">   </w:t>
      </w:r>
    </w:p>
    <w:p>
      <w:pPr>
        <w:pStyle w:val="109"/>
        <w:spacing w:before="240" w:after="240"/>
        <w:rPr>
          <w:highlight w:val="none"/>
        </w:rPr>
      </w:pPr>
      <w:bookmarkStart w:id="97" w:name="_Toc19656"/>
      <w:bookmarkStart w:id="98" w:name="_Toc99548246"/>
      <w:bookmarkStart w:id="99" w:name="_Toc99547232"/>
      <w:bookmarkStart w:id="100" w:name="_Toc99547378"/>
      <w:bookmarkStart w:id="101" w:name="_Toc99548471"/>
      <w:r>
        <w:rPr>
          <w:rFonts w:hint="eastAsia"/>
          <w:highlight w:val="none"/>
        </w:rPr>
        <w:t>总则</w:t>
      </w:r>
      <w:bookmarkEnd w:id="97"/>
      <w:bookmarkEnd w:id="98"/>
      <w:bookmarkEnd w:id="99"/>
      <w:bookmarkEnd w:id="100"/>
      <w:bookmarkEnd w:id="101"/>
    </w:p>
    <w:p>
      <w:pPr>
        <w:pStyle w:val="167"/>
        <w:rPr>
          <w:highlight w:val="none"/>
        </w:rPr>
      </w:pPr>
      <w:bookmarkStart w:id="102" w:name="_Toc28146"/>
      <w:bookmarkStart w:id="103" w:name="_Toc14445"/>
      <w:bookmarkStart w:id="104" w:name="_Toc24958"/>
      <w:bookmarkStart w:id="105" w:name="_Toc29328"/>
      <w:bookmarkStart w:id="106" w:name="_Toc99547379"/>
      <w:bookmarkStart w:id="107" w:name="_Toc1091"/>
      <w:bookmarkStart w:id="108" w:name="_Toc99548472"/>
      <w:bookmarkStart w:id="109" w:name="_Toc99547233"/>
      <w:bookmarkStart w:id="110" w:name="_Toc99548247"/>
      <w:r>
        <w:rPr>
          <w:rFonts w:hint="eastAsia"/>
          <w:highlight w:val="none"/>
        </w:rPr>
        <w:t>铸造企业EHS其功能包括风险辨识管控、隐患排查治理、职业健康管理、安全教育培训、安环投入、安委会组织、职责与目标、设备设施管理、应急管理、消防管理、环境和职业健康因素管理、事故事件管理、员工健康档案等。</w:t>
      </w:r>
      <w:bookmarkEnd w:id="102"/>
      <w:bookmarkEnd w:id="103"/>
      <w:bookmarkEnd w:id="104"/>
      <w:bookmarkEnd w:id="105"/>
      <w:bookmarkEnd w:id="106"/>
      <w:bookmarkEnd w:id="107"/>
      <w:bookmarkEnd w:id="108"/>
      <w:bookmarkEnd w:id="109"/>
      <w:bookmarkEnd w:id="110"/>
    </w:p>
    <w:p>
      <w:pPr>
        <w:pStyle w:val="167"/>
        <w:rPr>
          <w:highlight w:val="none"/>
        </w:rPr>
      </w:pPr>
      <w:bookmarkStart w:id="111" w:name="_Toc99547234"/>
      <w:bookmarkStart w:id="112" w:name="_Toc99548248"/>
      <w:bookmarkStart w:id="113" w:name="_Toc99547380"/>
      <w:bookmarkStart w:id="114" w:name="_Toc173"/>
      <w:bookmarkStart w:id="115" w:name="_Toc99548473"/>
      <w:r>
        <w:rPr>
          <w:rFonts w:hint="eastAsia"/>
          <w:highlight w:val="none"/>
        </w:rPr>
        <w:t>铸造企业EHS系统宜具备以下功能。</w:t>
      </w:r>
    </w:p>
    <w:p>
      <w:pPr>
        <w:pStyle w:val="179"/>
        <w:rPr>
          <w:highlight w:val="none"/>
        </w:rPr>
      </w:pPr>
      <w:r>
        <w:rPr>
          <w:rFonts w:hint="eastAsia"/>
          <w:highlight w:val="none"/>
        </w:rPr>
        <w:t>主流程功能宜包括：</w:t>
      </w:r>
    </w:p>
    <w:p>
      <w:pPr>
        <w:pStyle w:val="114"/>
        <w:rPr>
          <w:highlight w:val="none"/>
        </w:rPr>
      </w:pPr>
      <w:r>
        <w:rPr>
          <w:rFonts w:hint="eastAsia"/>
          <w:highlight w:val="none"/>
        </w:rPr>
        <w:t>系统管理；</w:t>
      </w:r>
    </w:p>
    <w:p>
      <w:pPr>
        <w:pStyle w:val="114"/>
        <w:rPr>
          <w:highlight w:val="none"/>
        </w:rPr>
      </w:pPr>
      <w:r>
        <w:rPr>
          <w:rFonts w:hint="eastAsia"/>
          <w:highlight w:val="none"/>
        </w:rPr>
        <w:t>基础数据管理；</w:t>
      </w:r>
    </w:p>
    <w:bookmarkEnd w:id="399"/>
    <w:p>
      <w:pPr>
        <w:pStyle w:val="114"/>
      </w:pPr>
      <w:r>
        <w:rPr>
          <w:rFonts w:hint="eastAsia"/>
        </w:rPr>
        <w:t>安全教育培训；</w:t>
      </w:r>
    </w:p>
    <w:p>
      <w:pPr>
        <w:pStyle w:val="114"/>
      </w:pPr>
      <w:r>
        <w:rPr>
          <w:rFonts w:hint="eastAsia"/>
        </w:rPr>
        <w:t>安环投入；</w:t>
      </w:r>
    </w:p>
    <w:p>
      <w:pPr>
        <w:pStyle w:val="114"/>
      </w:pPr>
      <w:r>
        <w:rPr>
          <w:rFonts w:hint="eastAsia"/>
        </w:rPr>
        <w:t>安委会组织；</w:t>
      </w:r>
    </w:p>
    <w:p>
      <w:pPr>
        <w:pStyle w:val="114"/>
      </w:pPr>
      <w:r>
        <w:rPr>
          <w:rFonts w:hint="eastAsia"/>
        </w:rPr>
        <w:t>职责与目标；</w:t>
      </w:r>
    </w:p>
    <w:p>
      <w:pPr>
        <w:pStyle w:val="114"/>
      </w:pPr>
      <w:r>
        <w:rPr>
          <w:rFonts w:hint="eastAsia"/>
        </w:rPr>
        <w:t>设备设施管理；</w:t>
      </w:r>
    </w:p>
    <w:p>
      <w:pPr>
        <w:pStyle w:val="114"/>
      </w:pPr>
      <w:r>
        <w:rPr>
          <w:rFonts w:hint="eastAsia"/>
        </w:rPr>
        <w:t>安全管理；</w:t>
      </w:r>
    </w:p>
    <w:p>
      <w:pPr>
        <w:pStyle w:val="114"/>
      </w:pPr>
      <w:r>
        <w:rPr>
          <w:rFonts w:hint="eastAsia"/>
        </w:rPr>
        <w:t>环境管理；</w:t>
      </w:r>
    </w:p>
    <w:p>
      <w:pPr>
        <w:pStyle w:val="114"/>
      </w:pPr>
      <w:r>
        <w:rPr>
          <w:rFonts w:hint="eastAsia"/>
        </w:rPr>
        <w:t>职业健康管理。</w:t>
      </w:r>
    </w:p>
    <w:p>
      <w:pPr>
        <w:pStyle w:val="179"/>
      </w:pPr>
      <w:r>
        <w:rPr>
          <w:rFonts w:hint="eastAsia"/>
        </w:rPr>
        <w:t>辅助功能宜包括：</w:t>
      </w:r>
    </w:p>
    <w:p>
      <w:pPr>
        <w:pStyle w:val="114"/>
      </w:pPr>
      <w:r>
        <w:rPr>
          <w:rFonts w:hint="eastAsia"/>
        </w:rPr>
        <w:t>消防管理；</w:t>
      </w:r>
    </w:p>
    <w:p>
      <w:pPr>
        <w:pStyle w:val="114"/>
      </w:pPr>
      <w:r>
        <w:rPr>
          <w:rFonts w:hint="eastAsia"/>
        </w:rPr>
        <w:t>可视化管理；</w:t>
      </w:r>
    </w:p>
    <w:p>
      <w:pPr>
        <w:pStyle w:val="114"/>
      </w:pPr>
      <w:r>
        <w:rPr>
          <w:rFonts w:hint="eastAsia"/>
        </w:rPr>
        <w:t>移动应用。</w:t>
      </w:r>
    </w:p>
    <w:p>
      <w:pPr>
        <w:pStyle w:val="109"/>
        <w:spacing w:before="240" w:after="240"/>
      </w:pPr>
      <w:r>
        <w:rPr>
          <w:rFonts w:hint="eastAsia"/>
        </w:rPr>
        <w:t>系统架构</w:t>
      </w:r>
      <w:bookmarkEnd w:id="111"/>
      <w:bookmarkEnd w:id="112"/>
      <w:bookmarkEnd w:id="113"/>
      <w:bookmarkEnd w:id="114"/>
      <w:bookmarkEnd w:id="115"/>
    </w:p>
    <w:p>
      <w:pPr>
        <w:pStyle w:val="61"/>
        <w:ind w:firstLine="420"/>
      </w:pPr>
      <w:r>
        <w:rPr>
          <w:rFonts w:hint="eastAsia"/>
        </w:rPr>
        <w:t>铸造企业EHS系统结构应由IOT层、平台层、数据层、业务层、展现层组成。EHS系统架构见图1，功能架构见图2。</w:t>
      </w:r>
    </w:p>
    <w:p>
      <w:pPr>
        <w:pStyle w:val="236"/>
        <w:ind w:firstLine="0" w:firstLineChars="0"/>
        <w:jc w:val="center"/>
      </w:pPr>
      <w:r>
        <w:drawing>
          <wp:inline distT="0" distB="0" distL="114300" distR="114300">
            <wp:extent cx="5593080" cy="51054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593080" cy="5105400"/>
                    </a:xfrm>
                    <a:prstGeom prst="rect">
                      <a:avLst/>
                    </a:prstGeom>
                    <a:noFill/>
                    <a:ln>
                      <a:noFill/>
                    </a:ln>
                  </pic:spPr>
                </pic:pic>
              </a:graphicData>
            </a:graphic>
          </wp:inline>
        </w:drawing>
      </w:r>
    </w:p>
    <w:p>
      <w:pPr>
        <w:pStyle w:val="119"/>
        <w:spacing w:before="120" w:after="120"/>
      </w:pPr>
      <w:bookmarkStart w:id="116" w:name="_Toc99548396"/>
      <w:r>
        <w:rPr>
          <w:rFonts w:hint="eastAsia"/>
        </w:rPr>
        <w:t>铸造企业EHS系统架构图</w:t>
      </w:r>
      <w:bookmarkEnd w:id="116"/>
    </w:p>
    <w:p>
      <w:pPr>
        <w:pStyle w:val="236"/>
        <w:ind w:firstLine="0" w:firstLineChars="0"/>
        <w:jc w:val="center"/>
      </w:pPr>
      <w:r>
        <w:drawing>
          <wp:inline distT="0" distB="0" distL="114300" distR="114300">
            <wp:extent cx="3436620" cy="3338195"/>
            <wp:effectExtent l="0" t="0" r="11430" b="14605"/>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pic:cNvPicPr>
                  </pic:nvPicPr>
                  <pic:blipFill>
                    <a:blip r:embed="rId17"/>
                    <a:stretch>
                      <a:fillRect/>
                    </a:stretch>
                  </pic:blipFill>
                  <pic:spPr>
                    <a:xfrm>
                      <a:off x="0" y="0"/>
                      <a:ext cx="3436620" cy="3338195"/>
                    </a:xfrm>
                    <a:prstGeom prst="rect">
                      <a:avLst/>
                    </a:prstGeom>
                    <a:noFill/>
                    <a:ln>
                      <a:noFill/>
                    </a:ln>
                  </pic:spPr>
                </pic:pic>
              </a:graphicData>
            </a:graphic>
          </wp:inline>
        </w:drawing>
      </w:r>
    </w:p>
    <w:p>
      <w:pPr>
        <w:pStyle w:val="119"/>
        <w:spacing w:before="120" w:after="120"/>
      </w:pPr>
      <w:bookmarkStart w:id="117" w:name="_Toc99548397"/>
      <w:r>
        <w:rPr>
          <w:rFonts w:hint="eastAsia"/>
        </w:rPr>
        <w:t>铸造企业EHS系统功能架构图</w:t>
      </w:r>
      <w:bookmarkEnd w:id="117"/>
    </w:p>
    <w:p>
      <w:pPr>
        <w:pStyle w:val="109"/>
        <w:spacing w:before="240" w:after="240"/>
      </w:pPr>
      <w:bookmarkStart w:id="118" w:name="_Toc99548474"/>
      <w:bookmarkStart w:id="119" w:name="_Toc99547381"/>
      <w:bookmarkStart w:id="120" w:name="_Toc99548249"/>
      <w:bookmarkStart w:id="121" w:name="_Toc20000"/>
      <w:bookmarkStart w:id="122" w:name="_Toc25826"/>
      <w:bookmarkStart w:id="123" w:name="_Toc30410"/>
      <w:bookmarkStart w:id="124" w:name="_Toc32744"/>
      <w:bookmarkStart w:id="125" w:name="_Toc15839"/>
      <w:bookmarkStart w:id="126" w:name="_Toc99547235"/>
      <w:bookmarkStart w:id="127" w:name="_Toc1382"/>
      <w:bookmarkStart w:id="128" w:name="_Toc21520"/>
      <w:bookmarkStart w:id="129" w:name="_Toc6172"/>
      <w:bookmarkStart w:id="130" w:name="_Toc16543"/>
      <w:r>
        <w:rPr>
          <w:rFonts w:hint="eastAsia"/>
        </w:rPr>
        <w:t>系统功能</w:t>
      </w:r>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110"/>
        <w:spacing w:before="120" w:after="120"/>
      </w:pPr>
      <w:bookmarkStart w:id="131" w:name="_Toc299"/>
      <w:bookmarkStart w:id="132" w:name="_Toc99548475"/>
      <w:bookmarkStart w:id="133" w:name="_Toc20050"/>
      <w:bookmarkStart w:id="134" w:name="_Toc99547382"/>
      <w:bookmarkStart w:id="135" w:name="_Toc30181"/>
      <w:bookmarkStart w:id="136" w:name="_Toc20673"/>
      <w:bookmarkStart w:id="137" w:name="_Toc3608"/>
      <w:bookmarkStart w:id="138" w:name="_Toc20969"/>
      <w:bookmarkStart w:id="139" w:name="_Toc99548250"/>
      <w:bookmarkStart w:id="140" w:name="_Toc11380"/>
      <w:bookmarkStart w:id="141" w:name="_Toc15448"/>
      <w:bookmarkStart w:id="142" w:name="_Toc7970"/>
      <w:bookmarkStart w:id="143" w:name="_Toc6514"/>
      <w:bookmarkStart w:id="144" w:name="_Toc99547236"/>
      <w:r>
        <w:rPr>
          <w:rFonts w:hint="eastAsia"/>
        </w:rPr>
        <w:t>基础维护管理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70"/>
        <w:spacing w:before="120" w:after="120"/>
      </w:pPr>
      <w:bookmarkStart w:id="145" w:name="_Toc1649"/>
      <w:bookmarkStart w:id="146" w:name="_Toc14296"/>
      <w:bookmarkStart w:id="147" w:name="_Toc24176"/>
      <w:bookmarkStart w:id="148" w:name="_Toc6503"/>
      <w:bookmarkStart w:id="149" w:name="_Toc1197"/>
      <w:bookmarkStart w:id="150" w:name="_Toc20740"/>
      <w:bookmarkStart w:id="151" w:name="_Toc29128"/>
      <w:bookmarkStart w:id="152" w:name="_Toc1433"/>
      <w:r>
        <w:t>基础设置</w:t>
      </w:r>
      <w:bookmarkEnd w:id="145"/>
      <w:bookmarkEnd w:id="146"/>
      <w:bookmarkEnd w:id="147"/>
      <w:bookmarkEnd w:id="148"/>
      <w:bookmarkEnd w:id="149"/>
      <w:bookmarkEnd w:id="150"/>
      <w:bookmarkEnd w:id="151"/>
      <w:bookmarkEnd w:id="152"/>
    </w:p>
    <w:p>
      <w:pPr>
        <w:pStyle w:val="99"/>
        <w:spacing w:before="120" w:after="120"/>
      </w:pPr>
      <w:bookmarkStart w:id="153" w:name="_Toc24739"/>
      <w:bookmarkStart w:id="154" w:name="_Toc2511"/>
      <w:bookmarkStart w:id="155" w:name="_Toc5539"/>
      <w:r>
        <w:rPr>
          <w:rFonts w:hint="eastAsia"/>
        </w:rPr>
        <w:t>组织机构</w:t>
      </w:r>
      <w:bookmarkEnd w:id="153"/>
      <w:bookmarkEnd w:id="154"/>
      <w:bookmarkEnd w:id="155"/>
    </w:p>
    <w:p>
      <w:pPr>
        <w:pStyle w:val="61"/>
        <w:ind w:firstLine="420"/>
      </w:pPr>
      <w:bookmarkStart w:id="156" w:name="_Toc13066"/>
      <w:bookmarkStart w:id="157" w:name="_Toc25368"/>
      <w:bookmarkStart w:id="158" w:name="_Toc20040"/>
      <w:r>
        <w:rPr>
          <w:rFonts w:hint="eastAsia"/>
        </w:rPr>
        <w:t>组织机构宜包括以下内容：</w:t>
      </w:r>
    </w:p>
    <w:p>
      <w:pPr>
        <w:pStyle w:val="179"/>
        <w:numPr>
          <w:ilvl w:val="0"/>
          <w:numId w:val="37"/>
        </w:numPr>
      </w:pPr>
      <w:r>
        <w:rPr>
          <w:rFonts w:hint="eastAsia"/>
        </w:rPr>
        <w:t>人员角色和岗位信息；</w:t>
      </w:r>
    </w:p>
    <w:p>
      <w:pPr>
        <w:pStyle w:val="179"/>
        <w:numPr>
          <w:ilvl w:val="0"/>
          <w:numId w:val="37"/>
        </w:numPr>
      </w:pPr>
      <w:r>
        <w:rPr>
          <w:rFonts w:hint="eastAsia"/>
          <w:color w:val="000000"/>
        </w:rPr>
        <w:t>部</w:t>
      </w:r>
      <w:r>
        <w:rPr>
          <w:rFonts w:hint="eastAsia"/>
        </w:rPr>
        <w:t>门组织机构信息；</w:t>
      </w:r>
    </w:p>
    <w:p>
      <w:pPr>
        <w:pStyle w:val="179"/>
        <w:numPr>
          <w:ilvl w:val="0"/>
          <w:numId w:val="37"/>
        </w:numPr>
      </w:pPr>
      <w:r>
        <w:rPr>
          <w:rFonts w:hint="eastAsia"/>
        </w:rPr>
        <w:t>班组信息；</w:t>
      </w:r>
    </w:p>
    <w:p>
      <w:pPr>
        <w:pStyle w:val="179"/>
        <w:numPr>
          <w:ilvl w:val="0"/>
          <w:numId w:val="37"/>
        </w:numPr>
      </w:pPr>
      <w:r>
        <w:rPr>
          <w:rFonts w:hint="eastAsia"/>
        </w:rPr>
        <w:t>人员信息宜通过HR系统集成或在系统中录入。</w:t>
      </w:r>
    </w:p>
    <w:p>
      <w:pPr>
        <w:pStyle w:val="99"/>
        <w:spacing w:before="120" w:after="120"/>
      </w:pPr>
      <w:r>
        <w:t>接口管理</w:t>
      </w:r>
      <w:bookmarkEnd w:id="156"/>
      <w:bookmarkEnd w:id="157"/>
      <w:bookmarkEnd w:id="158"/>
    </w:p>
    <w:p>
      <w:pPr>
        <w:pStyle w:val="61"/>
        <w:ind w:firstLine="420"/>
      </w:pPr>
      <w:r>
        <w:rPr>
          <w:rFonts w:hint="eastAsia"/>
        </w:rPr>
        <w:t>铸造企业环境健康安全系统宜具有与其他系统集成的接口，包含：</w:t>
      </w:r>
    </w:p>
    <w:p>
      <w:pPr>
        <w:pStyle w:val="179"/>
        <w:numPr>
          <w:ilvl w:val="0"/>
          <w:numId w:val="38"/>
        </w:numPr>
      </w:pPr>
      <w:r>
        <w:rPr>
          <w:rFonts w:hint="eastAsia"/>
        </w:rPr>
        <w:t>基础信息；</w:t>
      </w:r>
    </w:p>
    <w:p>
      <w:pPr>
        <w:pStyle w:val="179"/>
        <w:numPr>
          <w:ilvl w:val="0"/>
          <w:numId w:val="38"/>
        </w:numPr>
      </w:pPr>
      <w:r>
        <w:rPr>
          <w:rFonts w:hint="eastAsia"/>
        </w:rPr>
        <w:t>通讯地址；</w:t>
      </w:r>
    </w:p>
    <w:p>
      <w:pPr>
        <w:pStyle w:val="179"/>
        <w:numPr>
          <w:ilvl w:val="0"/>
          <w:numId w:val="38"/>
        </w:numPr>
      </w:pPr>
      <w:r>
        <w:rPr>
          <w:rFonts w:hint="eastAsia"/>
        </w:rPr>
        <w:t>数据读写权限；</w:t>
      </w:r>
    </w:p>
    <w:p>
      <w:pPr>
        <w:pStyle w:val="179"/>
        <w:numPr>
          <w:ilvl w:val="0"/>
          <w:numId w:val="38"/>
        </w:numPr>
      </w:pPr>
      <w:r>
        <w:rPr>
          <w:rFonts w:hint="eastAsia"/>
        </w:rPr>
        <w:t>数据访问认证方式。</w:t>
      </w:r>
    </w:p>
    <w:p>
      <w:pPr>
        <w:pStyle w:val="99"/>
        <w:spacing w:before="120" w:after="120"/>
      </w:pPr>
      <w:bookmarkStart w:id="159" w:name="_Toc5681"/>
      <w:bookmarkStart w:id="160" w:name="_Toc32458"/>
      <w:bookmarkStart w:id="161" w:name="_Toc25803"/>
      <w:r>
        <w:t>角色管理</w:t>
      </w:r>
      <w:bookmarkEnd w:id="159"/>
      <w:bookmarkEnd w:id="160"/>
      <w:bookmarkEnd w:id="161"/>
    </w:p>
    <w:p>
      <w:pPr>
        <w:pStyle w:val="61"/>
        <w:ind w:firstLine="420"/>
      </w:pPr>
      <w:r>
        <w:rPr>
          <w:rFonts w:hint="eastAsia"/>
        </w:rPr>
        <w:t>角色管理宜包括以下内容：</w:t>
      </w:r>
    </w:p>
    <w:p>
      <w:pPr>
        <w:pStyle w:val="179"/>
        <w:numPr>
          <w:ilvl w:val="0"/>
          <w:numId w:val="39"/>
        </w:numPr>
      </w:pPr>
      <w:r>
        <w:rPr>
          <w:rFonts w:hint="eastAsia"/>
        </w:rPr>
        <w:t>新增/删除角色；</w:t>
      </w:r>
    </w:p>
    <w:p>
      <w:pPr>
        <w:pStyle w:val="179"/>
        <w:numPr>
          <w:ilvl w:val="0"/>
          <w:numId w:val="39"/>
        </w:numPr>
      </w:pPr>
      <w:r>
        <w:rPr>
          <w:rFonts w:hint="eastAsia"/>
        </w:rPr>
        <w:t>编辑角色的基础信息；</w:t>
      </w:r>
    </w:p>
    <w:p>
      <w:pPr>
        <w:pStyle w:val="179"/>
        <w:numPr>
          <w:ilvl w:val="0"/>
          <w:numId w:val="39"/>
        </w:numPr>
      </w:pPr>
      <w:r>
        <w:rPr>
          <w:rFonts w:hint="eastAsia"/>
        </w:rPr>
        <w:t>开放/管理角色的系统功能模块使用权限；</w:t>
      </w:r>
    </w:p>
    <w:p>
      <w:pPr>
        <w:pStyle w:val="179"/>
        <w:numPr>
          <w:ilvl w:val="0"/>
          <w:numId w:val="39"/>
        </w:numPr>
      </w:pPr>
      <w:r>
        <w:rPr>
          <w:rFonts w:hint="eastAsia"/>
        </w:rPr>
        <w:t>角色宜包括超级管理员、系统管理员、业务员等。</w:t>
      </w:r>
    </w:p>
    <w:p>
      <w:pPr>
        <w:pStyle w:val="99"/>
        <w:spacing w:before="120" w:after="120"/>
      </w:pPr>
      <w:bookmarkStart w:id="162" w:name="_Toc8766"/>
      <w:bookmarkStart w:id="163" w:name="_Toc15971"/>
      <w:bookmarkStart w:id="164" w:name="_Toc27451"/>
      <w:r>
        <w:t>岗位管理</w:t>
      </w:r>
      <w:bookmarkEnd w:id="162"/>
      <w:bookmarkEnd w:id="163"/>
      <w:bookmarkEnd w:id="164"/>
    </w:p>
    <w:p>
      <w:pPr>
        <w:pStyle w:val="61"/>
        <w:ind w:firstLine="420"/>
      </w:pPr>
      <w:bookmarkStart w:id="165" w:name="_Toc10112"/>
      <w:bookmarkStart w:id="166" w:name="_Toc22826"/>
      <w:bookmarkStart w:id="167" w:name="_Toc5100"/>
      <w:r>
        <w:rPr>
          <w:rFonts w:hint="eastAsia"/>
        </w:rPr>
        <w:t>岗位管理宜包括以下内容：</w:t>
      </w:r>
    </w:p>
    <w:p>
      <w:pPr>
        <w:pStyle w:val="179"/>
        <w:numPr>
          <w:ilvl w:val="0"/>
          <w:numId w:val="40"/>
        </w:numPr>
      </w:pPr>
      <w:r>
        <w:rPr>
          <w:rFonts w:hint="eastAsia"/>
          <w:szCs w:val="22"/>
        </w:rPr>
        <w:t>新</w:t>
      </w:r>
      <w:r>
        <w:rPr>
          <w:rFonts w:hint="eastAsia"/>
        </w:rPr>
        <w:t>增/删除岗位；</w:t>
      </w:r>
    </w:p>
    <w:p>
      <w:pPr>
        <w:pStyle w:val="179"/>
        <w:numPr>
          <w:ilvl w:val="0"/>
          <w:numId w:val="40"/>
        </w:numPr>
      </w:pPr>
      <w:r>
        <w:rPr>
          <w:rFonts w:hint="eastAsia"/>
        </w:rPr>
        <w:t>编辑岗位的基础信息；</w:t>
      </w:r>
    </w:p>
    <w:p>
      <w:pPr>
        <w:pStyle w:val="179"/>
        <w:numPr>
          <w:ilvl w:val="0"/>
          <w:numId w:val="40"/>
        </w:numPr>
      </w:pPr>
      <w:r>
        <w:rPr>
          <w:rFonts w:hint="eastAsia"/>
        </w:rPr>
        <w:t>设定岗位审批级别；</w:t>
      </w:r>
    </w:p>
    <w:p>
      <w:pPr>
        <w:pStyle w:val="179"/>
        <w:numPr>
          <w:ilvl w:val="0"/>
          <w:numId w:val="40"/>
        </w:numPr>
        <w:rPr>
          <w:rFonts w:hAnsi="宋体"/>
          <w:szCs w:val="21"/>
        </w:rPr>
      </w:pPr>
      <w:r>
        <w:rPr>
          <w:rFonts w:hint="eastAsia"/>
        </w:rPr>
        <w:t>岗位宜包括公司级EHS主管、公司级EHS专员、部门主管、部门</w:t>
      </w:r>
      <w:r>
        <w:rPr>
          <w:rFonts w:hint="eastAsia" w:hAnsi="宋体"/>
          <w:szCs w:val="21"/>
        </w:rPr>
        <w:t>级</w:t>
      </w:r>
      <w:r>
        <w:rPr>
          <w:rFonts w:hAnsi="宋体"/>
          <w:szCs w:val="21"/>
        </w:rPr>
        <w:t>EHS</w:t>
      </w:r>
      <w:r>
        <w:rPr>
          <w:rFonts w:hint="eastAsia" w:hAnsi="宋体"/>
          <w:szCs w:val="21"/>
        </w:rPr>
        <w:t>主管、部门级</w:t>
      </w:r>
      <w:r>
        <w:rPr>
          <w:rFonts w:hAnsi="宋体"/>
          <w:szCs w:val="21"/>
        </w:rPr>
        <w:t>EHS</w:t>
      </w:r>
      <w:r>
        <w:rPr>
          <w:rFonts w:hint="eastAsia" w:hAnsi="宋体"/>
          <w:szCs w:val="21"/>
        </w:rPr>
        <w:t>专员。</w:t>
      </w:r>
    </w:p>
    <w:p>
      <w:pPr>
        <w:pStyle w:val="99"/>
        <w:spacing w:before="120" w:after="120"/>
      </w:pPr>
      <w:r>
        <w:t>流程管理</w:t>
      </w:r>
      <w:bookmarkEnd w:id="165"/>
      <w:bookmarkEnd w:id="166"/>
      <w:bookmarkEnd w:id="167"/>
    </w:p>
    <w:p>
      <w:pPr>
        <w:pStyle w:val="61"/>
        <w:ind w:firstLine="420"/>
      </w:pPr>
      <w:r>
        <w:rPr>
          <w:rFonts w:hint="eastAsia"/>
        </w:rPr>
        <w:t>流程管理宜包括以下内容：</w:t>
      </w:r>
    </w:p>
    <w:p>
      <w:pPr>
        <w:pStyle w:val="179"/>
        <w:numPr>
          <w:ilvl w:val="0"/>
          <w:numId w:val="41"/>
        </w:numPr>
      </w:pPr>
      <w:r>
        <w:rPr>
          <w:rFonts w:hint="eastAsia"/>
        </w:rPr>
        <w:t>审批流程节点和名称；</w:t>
      </w:r>
    </w:p>
    <w:p>
      <w:pPr>
        <w:pStyle w:val="179"/>
        <w:numPr>
          <w:ilvl w:val="0"/>
          <w:numId w:val="41"/>
        </w:numPr>
      </w:pPr>
      <w:r>
        <w:rPr>
          <w:rFonts w:hint="eastAsia"/>
        </w:rPr>
        <w:t>流程审批人员和级别权限；</w:t>
      </w:r>
    </w:p>
    <w:p>
      <w:pPr>
        <w:pStyle w:val="179"/>
        <w:numPr>
          <w:ilvl w:val="0"/>
          <w:numId w:val="41"/>
        </w:numPr>
      </w:pPr>
      <w:r>
        <w:rPr>
          <w:rFonts w:hint="eastAsia"/>
        </w:rPr>
        <w:t>流程可自定义设置。</w:t>
      </w:r>
    </w:p>
    <w:p>
      <w:pPr>
        <w:pStyle w:val="99"/>
        <w:spacing w:before="120" w:after="120"/>
      </w:pPr>
      <w:bookmarkStart w:id="168" w:name="_Toc3576"/>
      <w:bookmarkStart w:id="169" w:name="_Toc3886"/>
      <w:bookmarkStart w:id="170" w:name="_Toc32578"/>
      <w:r>
        <w:t>字典管理</w:t>
      </w:r>
      <w:bookmarkEnd w:id="168"/>
      <w:bookmarkEnd w:id="169"/>
      <w:bookmarkEnd w:id="170"/>
    </w:p>
    <w:p>
      <w:pPr>
        <w:pStyle w:val="61"/>
        <w:ind w:firstLine="420"/>
        <w:rPr>
          <w:color w:val="000000"/>
        </w:rPr>
      </w:pPr>
      <w:r>
        <w:rPr>
          <w:rFonts w:hint="eastAsia"/>
        </w:rPr>
        <w:t>字典</w:t>
      </w:r>
      <w:r>
        <w:rPr>
          <w:rFonts w:hint="eastAsia" w:hAnsi="宋体"/>
          <w:color w:val="000000"/>
        </w:rPr>
        <w:t>管理宜包含以下内容：</w:t>
      </w:r>
    </w:p>
    <w:p>
      <w:pPr>
        <w:pStyle w:val="179"/>
        <w:numPr>
          <w:ilvl w:val="0"/>
          <w:numId w:val="42"/>
        </w:numPr>
      </w:pPr>
      <w:r>
        <w:rPr>
          <w:rFonts w:hint="eastAsia"/>
        </w:rPr>
        <w:t>风险辨识：风险辨识中的风险大类和风险小类的维护；</w:t>
      </w:r>
    </w:p>
    <w:p>
      <w:pPr>
        <w:pStyle w:val="179"/>
        <w:numPr>
          <w:ilvl w:val="0"/>
          <w:numId w:val="42"/>
        </w:numPr>
      </w:pPr>
      <w:r>
        <w:rPr>
          <w:rFonts w:hint="eastAsia"/>
        </w:rPr>
        <w:t>隐患排查治理：隐患库中的隐患大类和隐患小类的维护；</w:t>
      </w:r>
    </w:p>
    <w:p>
      <w:pPr>
        <w:pStyle w:val="179"/>
        <w:numPr>
          <w:ilvl w:val="0"/>
          <w:numId w:val="42"/>
        </w:numPr>
      </w:pPr>
      <w:r>
        <w:rPr>
          <w:rFonts w:hint="eastAsia"/>
        </w:rPr>
        <w:t>其他参数维护：其他参数维护根据业务需要灵活维护。</w:t>
      </w:r>
    </w:p>
    <w:p>
      <w:pPr>
        <w:pStyle w:val="99"/>
        <w:spacing w:before="120" w:after="120"/>
      </w:pPr>
      <w:bookmarkStart w:id="171" w:name="_Toc22197"/>
      <w:bookmarkStart w:id="172" w:name="_Toc16031"/>
      <w:bookmarkStart w:id="173" w:name="_Toc12783"/>
      <w:r>
        <w:t>操作日志</w:t>
      </w:r>
      <w:bookmarkEnd w:id="171"/>
      <w:bookmarkEnd w:id="172"/>
      <w:bookmarkEnd w:id="173"/>
    </w:p>
    <w:p>
      <w:pPr>
        <w:pStyle w:val="61"/>
        <w:ind w:firstLine="420"/>
        <w:rPr>
          <w:rFonts w:hAnsi="宋体"/>
          <w:color w:val="000000"/>
        </w:rPr>
      </w:pPr>
      <w:r>
        <w:rPr>
          <w:rFonts w:hint="eastAsia" w:hAnsi="宋体"/>
          <w:color w:val="000000"/>
        </w:rPr>
        <w:t>操作日志宜记录用户的登录信息和操作信息。</w:t>
      </w:r>
    </w:p>
    <w:p>
      <w:pPr>
        <w:pStyle w:val="70"/>
        <w:spacing w:before="120" w:after="120"/>
      </w:pPr>
      <w:bookmarkStart w:id="174" w:name="_Toc1107"/>
      <w:bookmarkStart w:id="175" w:name="_Toc20430"/>
      <w:bookmarkStart w:id="176" w:name="_Toc5529"/>
      <w:bookmarkStart w:id="177" w:name="_Toc17852"/>
      <w:bookmarkStart w:id="178" w:name="_Toc16268"/>
      <w:bookmarkStart w:id="179" w:name="_Toc9990"/>
      <w:bookmarkStart w:id="180" w:name="_Toc12485"/>
      <w:bookmarkStart w:id="181" w:name="_Toc27861"/>
      <w:bookmarkStart w:id="182" w:name="_Toc11885"/>
      <w:bookmarkStart w:id="183" w:name="_Toc66"/>
      <w:r>
        <w:t>网格化管理</w:t>
      </w:r>
      <w:bookmarkEnd w:id="174"/>
      <w:bookmarkEnd w:id="175"/>
      <w:bookmarkEnd w:id="176"/>
      <w:bookmarkEnd w:id="177"/>
      <w:bookmarkEnd w:id="178"/>
      <w:bookmarkEnd w:id="179"/>
      <w:bookmarkEnd w:id="180"/>
    </w:p>
    <w:p>
      <w:pPr>
        <w:pStyle w:val="99"/>
        <w:spacing w:before="120" w:after="120"/>
      </w:pPr>
      <w:bookmarkStart w:id="184" w:name="_Toc29320"/>
      <w:bookmarkStart w:id="185" w:name="_Toc9461"/>
      <w:bookmarkStart w:id="186" w:name="_Toc511"/>
      <w:r>
        <w:t>概述</w:t>
      </w:r>
      <w:bookmarkEnd w:id="184"/>
      <w:bookmarkEnd w:id="185"/>
      <w:bookmarkEnd w:id="186"/>
    </w:p>
    <w:p>
      <w:pPr>
        <w:pStyle w:val="61"/>
        <w:ind w:firstLine="420"/>
        <w:rPr>
          <w:rFonts w:hAnsi="宋体"/>
          <w:color w:val="000000"/>
        </w:rPr>
      </w:pPr>
      <w:bookmarkStart w:id="187" w:name="_Toc23397"/>
      <w:bookmarkStart w:id="188" w:name="_Toc14218"/>
      <w:bookmarkStart w:id="189" w:name="_Toc11644"/>
      <w:r>
        <w:rPr>
          <w:rFonts w:hint="eastAsia" w:hAnsi="宋体"/>
          <w:color w:val="000000"/>
        </w:rPr>
        <w:t>环境健康安全系统宜具备网格化管理功能模块，可将厂区图按业务管理需求划分，并明确网格区域的责任人。网格化管理宜包含网格区域和网格设置功能。</w:t>
      </w:r>
    </w:p>
    <w:p>
      <w:pPr>
        <w:pStyle w:val="99"/>
        <w:spacing w:before="120" w:after="120"/>
      </w:pPr>
      <w:r>
        <w:t>网格区域</w:t>
      </w:r>
      <w:bookmarkEnd w:id="187"/>
      <w:bookmarkEnd w:id="188"/>
      <w:bookmarkEnd w:id="189"/>
    </w:p>
    <w:p>
      <w:pPr>
        <w:pStyle w:val="61"/>
        <w:ind w:firstLine="420"/>
        <w:rPr>
          <w:rFonts w:hAnsi="宋体"/>
          <w:color w:val="000000"/>
        </w:rPr>
      </w:pPr>
      <w:r>
        <w:rPr>
          <w:rFonts w:hint="eastAsia" w:hAnsi="宋体"/>
          <w:color w:val="000000"/>
        </w:rPr>
        <w:t>网格区域宜管理厂区，宜包括以下内容：</w:t>
      </w:r>
    </w:p>
    <w:p>
      <w:pPr>
        <w:pStyle w:val="179"/>
        <w:numPr>
          <w:ilvl w:val="0"/>
          <w:numId w:val="43"/>
        </w:numPr>
      </w:pPr>
      <w:r>
        <w:rPr>
          <w:rFonts w:hint="eastAsia"/>
        </w:rPr>
        <w:t>明确各网格区域的责任人；</w:t>
      </w:r>
    </w:p>
    <w:p>
      <w:pPr>
        <w:pStyle w:val="179"/>
        <w:numPr>
          <w:ilvl w:val="0"/>
          <w:numId w:val="43"/>
        </w:numPr>
      </w:pPr>
      <w:r>
        <w:rPr>
          <w:rFonts w:hint="eastAsia"/>
        </w:rPr>
        <w:t>明确各网格区域的监测点。</w:t>
      </w:r>
    </w:p>
    <w:p>
      <w:pPr>
        <w:pStyle w:val="99"/>
        <w:spacing w:before="120" w:after="120"/>
      </w:pPr>
      <w:bookmarkStart w:id="190" w:name="_Toc13150"/>
      <w:bookmarkStart w:id="191" w:name="_Toc24581"/>
      <w:bookmarkStart w:id="192" w:name="_Toc1316"/>
      <w:r>
        <w:t>网格设置</w:t>
      </w:r>
      <w:bookmarkEnd w:id="190"/>
      <w:bookmarkEnd w:id="191"/>
      <w:bookmarkEnd w:id="192"/>
    </w:p>
    <w:p>
      <w:pPr>
        <w:pStyle w:val="61"/>
        <w:ind w:firstLine="420"/>
        <w:rPr>
          <w:rFonts w:hAnsi="宋体"/>
          <w:color w:val="000000"/>
        </w:rPr>
      </w:pPr>
      <w:bookmarkStart w:id="193" w:name="_Toc16451"/>
      <w:bookmarkStart w:id="194" w:name="_Toc12189"/>
      <w:bookmarkStart w:id="195" w:name="_Toc10244"/>
      <w:bookmarkStart w:id="196" w:name="_Toc17742"/>
      <w:bookmarkStart w:id="197" w:name="_Toc7805"/>
      <w:bookmarkStart w:id="198" w:name="_Toc21566"/>
      <w:bookmarkStart w:id="199" w:name="_Toc24902"/>
      <w:bookmarkStart w:id="200" w:name="_Toc31729"/>
      <w:r>
        <w:rPr>
          <w:rFonts w:hint="eastAsia" w:hAnsi="宋体"/>
          <w:color w:val="000000"/>
        </w:rPr>
        <w:t>厂区管理网格区域宜按实际生产情况设置。</w:t>
      </w:r>
    </w:p>
    <w:p>
      <w:pPr>
        <w:pStyle w:val="70"/>
        <w:spacing w:before="120" w:after="120"/>
      </w:pPr>
      <w:r>
        <w:t>知识库</w:t>
      </w:r>
      <w:bookmarkEnd w:id="193"/>
      <w:bookmarkEnd w:id="194"/>
      <w:bookmarkEnd w:id="195"/>
      <w:bookmarkEnd w:id="196"/>
      <w:bookmarkEnd w:id="197"/>
      <w:bookmarkEnd w:id="198"/>
      <w:bookmarkEnd w:id="199"/>
      <w:bookmarkEnd w:id="200"/>
    </w:p>
    <w:p>
      <w:pPr>
        <w:pStyle w:val="99"/>
        <w:spacing w:before="120" w:after="120"/>
      </w:pPr>
      <w:bookmarkStart w:id="201" w:name="_Toc30625"/>
      <w:bookmarkStart w:id="202" w:name="_Toc17284"/>
      <w:bookmarkStart w:id="203" w:name="_Toc9568"/>
      <w:r>
        <w:t>概述</w:t>
      </w:r>
      <w:bookmarkEnd w:id="201"/>
      <w:bookmarkEnd w:id="202"/>
      <w:bookmarkEnd w:id="203"/>
    </w:p>
    <w:p>
      <w:pPr>
        <w:pStyle w:val="61"/>
        <w:ind w:firstLine="420"/>
        <w:rPr>
          <w:rFonts w:hAnsi="宋体"/>
          <w:color w:val="000000"/>
        </w:rPr>
      </w:pPr>
      <w:bookmarkStart w:id="204" w:name="_Toc913"/>
      <w:bookmarkStart w:id="205" w:name="_Toc5085"/>
      <w:bookmarkStart w:id="206" w:name="_Toc3664"/>
      <w:r>
        <w:rPr>
          <w:rFonts w:hint="eastAsia" w:hAnsi="宋体"/>
          <w:color w:val="000000"/>
        </w:rPr>
        <w:t>知识库内置政策法规、标准、操作规程、规章制度、风险库、隐患库。知识库宜包含法律法规库、规章制度、风险库和隐患库功能。</w:t>
      </w:r>
    </w:p>
    <w:p>
      <w:pPr>
        <w:pStyle w:val="99"/>
        <w:spacing w:before="120" w:after="120"/>
      </w:pPr>
      <w:r>
        <w:t>法律法规库</w:t>
      </w:r>
      <w:bookmarkEnd w:id="204"/>
      <w:bookmarkEnd w:id="205"/>
      <w:bookmarkEnd w:id="206"/>
    </w:p>
    <w:p>
      <w:pPr>
        <w:pStyle w:val="61"/>
        <w:ind w:firstLine="420"/>
        <w:rPr>
          <w:rFonts w:hAnsi="宋体"/>
          <w:color w:val="000000"/>
        </w:rPr>
      </w:pPr>
      <w:r>
        <w:rPr>
          <w:rFonts w:hint="eastAsia" w:hAnsi="宋体"/>
          <w:color w:val="000000"/>
        </w:rPr>
        <w:t>法律法规库宜包括以下内容：</w:t>
      </w:r>
    </w:p>
    <w:p>
      <w:pPr>
        <w:pStyle w:val="179"/>
        <w:numPr>
          <w:ilvl w:val="0"/>
          <w:numId w:val="44"/>
        </w:numPr>
      </w:pPr>
      <w:r>
        <w:rPr>
          <w:rFonts w:hint="eastAsia"/>
        </w:rPr>
        <w:t>新增/删除法律法规；</w:t>
      </w:r>
    </w:p>
    <w:p>
      <w:pPr>
        <w:pStyle w:val="179"/>
        <w:numPr>
          <w:ilvl w:val="0"/>
          <w:numId w:val="44"/>
        </w:numPr>
      </w:pPr>
      <w:r>
        <w:rPr>
          <w:rFonts w:hint="eastAsia"/>
        </w:rPr>
        <w:t>编辑法律法规信息；</w:t>
      </w:r>
    </w:p>
    <w:p>
      <w:pPr>
        <w:pStyle w:val="179"/>
        <w:numPr>
          <w:ilvl w:val="0"/>
          <w:numId w:val="44"/>
        </w:numPr>
      </w:pPr>
      <w:r>
        <w:rPr>
          <w:rFonts w:hint="eastAsia"/>
        </w:rPr>
        <w:t>新增法规条款；</w:t>
      </w:r>
    </w:p>
    <w:p>
      <w:pPr>
        <w:pStyle w:val="179"/>
        <w:numPr>
          <w:ilvl w:val="0"/>
          <w:numId w:val="44"/>
        </w:numPr>
      </w:pPr>
      <w:r>
        <w:rPr>
          <w:rFonts w:hint="eastAsia"/>
        </w:rPr>
        <w:t>法律法规宜包括法规名称、法规类别、法规编号、法规类型、发布时间、发布单位、实施时间、管理部门、附件、法规状态、适用行业、备注。</w:t>
      </w:r>
    </w:p>
    <w:p>
      <w:pPr>
        <w:pStyle w:val="99"/>
        <w:spacing w:before="120" w:after="120"/>
      </w:pPr>
      <w:r>
        <w:rPr>
          <w:rFonts w:hint="eastAsia"/>
        </w:rPr>
        <w:t>规章制度</w:t>
      </w:r>
    </w:p>
    <w:p>
      <w:pPr>
        <w:pStyle w:val="61"/>
        <w:ind w:firstLine="420"/>
        <w:rPr>
          <w:rFonts w:hAnsi="宋体"/>
          <w:color w:val="000000"/>
        </w:rPr>
      </w:pPr>
      <w:bookmarkStart w:id="207" w:name="_Toc32207"/>
      <w:bookmarkStart w:id="208" w:name="_Toc15459"/>
      <w:bookmarkStart w:id="209" w:name="_Toc14453"/>
      <w:r>
        <w:rPr>
          <w:rFonts w:hint="eastAsia" w:hAnsi="宋体"/>
          <w:color w:val="000000"/>
        </w:rPr>
        <w:t>规章制度宜包括以下内容：</w:t>
      </w:r>
    </w:p>
    <w:p>
      <w:pPr>
        <w:pStyle w:val="179"/>
        <w:numPr>
          <w:ilvl w:val="0"/>
          <w:numId w:val="45"/>
        </w:numPr>
      </w:pPr>
      <w:r>
        <w:rPr>
          <w:rFonts w:hint="eastAsia"/>
        </w:rPr>
        <w:t>新增/删除规章制度；</w:t>
      </w:r>
    </w:p>
    <w:p>
      <w:pPr>
        <w:pStyle w:val="179"/>
        <w:numPr>
          <w:ilvl w:val="0"/>
          <w:numId w:val="45"/>
        </w:numPr>
      </w:pPr>
      <w:r>
        <w:rPr>
          <w:rFonts w:hint="eastAsia"/>
        </w:rPr>
        <w:t>编辑规章制度；</w:t>
      </w:r>
    </w:p>
    <w:p>
      <w:pPr>
        <w:pStyle w:val="179"/>
        <w:numPr>
          <w:ilvl w:val="0"/>
          <w:numId w:val="45"/>
        </w:numPr>
      </w:pPr>
      <w:r>
        <w:rPr>
          <w:rFonts w:hint="eastAsia"/>
        </w:rPr>
        <w:t>修订规章制度；</w:t>
      </w:r>
    </w:p>
    <w:p>
      <w:pPr>
        <w:pStyle w:val="179"/>
        <w:numPr>
          <w:ilvl w:val="0"/>
          <w:numId w:val="45"/>
        </w:numPr>
      </w:pPr>
      <w:r>
        <w:rPr>
          <w:rFonts w:hint="eastAsia"/>
        </w:rPr>
        <w:t>导入，可在系统中下载模板；</w:t>
      </w:r>
    </w:p>
    <w:p>
      <w:pPr>
        <w:pStyle w:val="179"/>
        <w:numPr>
          <w:ilvl w:val="0"/>
          <w:numId w:val="45"/>
        </w:numPr>
      </w:pPr>
      <w:r>
        <w:rPr>
          <w:rFonts w:hint="eastAsia"/>
        </w:rPr>
        <w:t>规章制度宜包括管理分类、文件编号、文件名称、发布日期、编写部门、编写人、版本号、适用范围、附件、备注。</w:t>
      </w:r>
    </w:p>
    <w:p>
      <w:pPr>
        <w:pStyle w:val="99"/>
        <w:spacing w:before="120" w:after="120"/>
      </w:pPr>
      <w:r>
        <w:t>风险库</w:t>
      </w:r>
      <w:bookmarkEnd w:id="207"/>
      <w:bookmarkEnd w:id="208"/>
      <w:bookmarkEnd w:id="209"/>
    </w:p>
    <w:p>
      <w:pPr>
        <w:pStyle w:val="61"/>
        <w:ind w:firstLine="420"/>
        <w:rPr>
          <w:rFonts w:hAnsi="宋体"/>
          <w:color w:val="000000"/>
        </w:rPr>
      </w:pPr>
      <w:bookmarkStart w:id="210" w:name="_Toc9393"/>
      <w:bookmarkStart w:id="211" w:name="_Toc9821"/>
      <w:bookmarkStart w:id="212" w:name="_Toc24410"/>
      <w:r>
        <w:rPr>
          <w:rFonts w:hint="eastAsia" w:hAnsi="宋体"/>
          <w:color w:val="000000"/>
        </w:rPr>
        <w:t>风险库宜包括以下内容：</w:t>
      </w:r>
    </w:p>
    <w:p>
      <w:pPr>
        <w:pStyle w:val="179"/>
        <w:numPr>
          <w:ilvl w:val="0"/>
          <w:numId w:val="46"/>
        </w:numPr>
      </w:pPr>
      <w:r>
        <w:rPr>
          <w:rFonts w:hint="eastAsia"/>
        </w:rPr>
        <w:t>新增/编辑/删除；</w:t>
      </w:r>
    </w:p>
    <w:p>
      <w:pPr>
        <w:pStyle w:val="179"/>
        <w:numPr>
          <w:ilvl w:val="0"/>
          <w:numId w:val="46"/>
        </w:numPr>
      </w:pPr>
      <w:r>
        <w:rPr>
          <w:rFonts w:hint="eastAsia"/>
        </w:rPr>
        <w:t>批量导入风险点，可在系统中下载导入模板。</w:t>
      </w:r>
    </w:p>
    <w:p>
      <w:pPr>
        <w:pStyle w:val="99"/>
        <w:spacing w:before="120" w:after="120"/>
      </w:pPr>
      <w:r>
        <w:t>隐患库</w:t>
      </w:r>
      <w:bookmarkEnd w:id="210"/>
      <w:bookmarkEnd w:id="211"/>
      <w:bookmarkEnd w:id="212"/>
    </w:p>
    <w:p>
      <w:pPr>
        <w:pStyle w:val="61"/>
        <w:ind w:firstLine="420"/>
        <w:rPr>
          <w:rFonts w:hAnsi="宋体"/>
          <w:color w:val="000000"/>
        </w:rPr>
      </w:pPr>
      <w:bookmarkStart w:id="213" w:name="_Toc26187"/>
      <w:bookmarkStart w:id="214" w:name="_Toc99547237"/>
      <w:bookmarkStart w:id="215" w:name="_Toc24861"/>
      <w:bookmarkStart w:id="216" w:name="_Toc99547383"/>
      <w:bookmarkStart w:id="217" w:name="_Toc99548251"/>
      <w:bookmarkStart w:id="218" w:name="_Toc99548476"/>
      <w:r>
        <w:rPr>
          <w:rFonts w:hint="eastAsia" w:hAnsi="宋体"/>
          <w:color w:val="000000"/>
        </w:rPr>
        <w:t>隐患库宜包括以下内容：</w:t>
      </w:r>
    </w:p>
    <w:p>
      <w:pPr>
        <w:pStyle w:val="179"/>
        <w:numPr>
          <w:ilvl w:val="0"/>
          <w:numId w:val="47"/>
        </w:numPr>
      </w:pPr>
      <w:r>
        <w:rPr>
          <w:rFonts w:hint="eastAsia"/>
        </w:rPr>
        <w:t>新增/编辑/删除隐患；</w:t>
      </w:r>
    </w:p>
    <w:p>
      <w:pPr>
        <w:pStyle w:val="179"/>
        <w:numPr>
          <w:ilvl w:val="0"/>
          <w:numId w:val="47"/>
        </w:numPr>
      </w:pPr>
      <w:r>
        <w:rPr>
          <w:rFonts w:hint="eastAsia"/>
        </w:rPr>
        <w:t>下载模板，导入隐患。</w:t>
      </w:r>
    </w:p>
    <w:p>
      <w:pPr>
        <w:pStyle w:val="110"/>
        <w:spacing w:before="120" w:after="120"/>
      </w:pPr>
      <w:r>
        <w:rPr>
          <w:rFonts w:hint="eastAsia"/>
        </w:rPr>
        <w:t>安全教育培训</w:t>
      </w:r>
      <w:bookmarkEnd w:id="213"/>
      <w:bookmarkEnd w:id="214"/>
      <w:bookmarkEnd w:id="215"/>
      <w:bookmarkEnd w:id="216"/>
      <w:bookmarkEnd w:id="217"/>
      <w:bookmarkEnd w:id="218"/>
    </w:p>
    <w:p>
      <w:pPr>
        <w:pStyle w:val="70"/>
        <w:spacing w:before="120" w:after="120"/>
      </w:pPr>
      <w:r>
        <w:rPr>
          <w:rFonts w:hint="eastAsia"/>
        </w:rPr>
        <w:t>概述</w:t>
      </w:r>
    </w:p>
    <w:p>
      <w:pPr>
        <w:pStyle w:val="61"/>
        <w:ind w:firstLine="420"/>
        <w:rPr>
          <w:rFonts w:hAnsi="宋体"/>
          <w:color w:val="000000"/>
        </w:rPr>
      </w:pPr>
      <w:r>
        <w:rPr>
          <w:rFonts w:hint="eastAsia" w:hAnsi="宋体"/>
          <w:color w:val="000000"/>
        </w:rPr>
        <w:t>EHS系统宜具备安全教育培训功能模块。安全教育培训宜包括培训计划管理、课程管理、讲师管理、试题管理、试卷管理和培训统计，安全教育培训功能架构见图3。</w:t>
      </w:r>
    </w:p>
    <w:p>
      <w:pPr>
        <w:pStyle w:val="236"/>
        <w:jc w:val="center"/>
      </w:pPr>
      <w:r>
        <w:drawing>
          <wp:inline distT="0" distB="0" distL="114300" distR="114300">
            <wp:extent cx="3505835" cy="2261235"/>
            <wp:effectExtent l="0" t="0" r="18415" b="5715"/>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8"/>
                    <a:stretch>
                      <a:fillRect/>
                    </a:stretch>
                  </pic:blipFill>
                  <pic:spPr>
                    <a:xfrm>
                      <a:off x="0" y="0"/>
                      <a:ext cx="3505835" cy="2261235"/>
                    </a:xfrm>
                    <a:prstGeom prst="rect">
                      <a:avLst/>
                    </a:prstGeom>
                    <a:noFill/>
                    <a:ln>
                      <a:noFill/>
                    </a:ln>
                  </pic:spPr>
                </pic:pic>
              </a:graphicData>
            </a:graphic>
          </wp:inline>
        </w:drawing>
      </w:r>
    </w:p>
    <w:p>
      <w:pPr>
        <w:pStyle w:val="119"/>
        <w:spacing w:before="120" w:after="120"/>
      </w:pPr>
      <w:bookmarkStart w:id="219" w:name="_Toc99548398"/>
      <w:r>
        <w:rPr>
          <w:rFonts w:hint="eastAsia"/>
        </w:rPr>
        <w:t>安全教育培训功能架构图</w:t>
      </w:r>
      <w:bookmarkEnd w:id="219"/>
    </w:p>
    <w:p>
      <w:pPr>
        <w:pStyle w:val="70"/>
        <w:spacing w:before="120" w:after="120"/>
      </w:pPr>
      <w:r>
        <w:rPr>
          <w:rFonts w:hint="eastAsia"/>
        </w:rPr>
        <w:t>培训计划管理</w:t>
      </w:r>
    </w:p>
    <w:p>
      <w:pPr>
        <w:pStyle w:val="61"/>
        <w:ind w:firstLine="420"/>
        <w:rPr>
          <w:rFonts w:hAnsi="宋体"/>
          <w:color w:val="000000"/>
        </w:rPr>
      </w:pPr>
      <w:r>
        <w:rPr>
          <w:rFonts w:hint="eastAsia" w:hAnsi="宋体"/>
          <w:color w:val="000000"/>
        </w:rPr>
        <w:t>培训计划管理宜包括以下内容：</w:t>
      </w:r>
    </w:p>
    <w:p>
      <w:pPr>
        <w:pStyle w:val="179"/>
        <w:numPr>
          <w:ilvl w:val="0"/>
          <w:numId w:val="48"/>
        </w:numPr>
      </w:pPr>
      <w:r>
        <w:rPr>
          <w:rFonts w:hint="eastAsia"/>
        </w:rPr>
        <w:t>新增/删除培训计划；</w:t>
      </w:r>
    </w:p>
    <w:p>
      <w:pPr>
        <w:pStyle w:val="179"/>
        <w:numPr>
          <w:ilvl w:val="0"/>
          <w:numId w:val="48"/>
        </w:numPr>
      </w:pPr>
      <w:r>
        <w:rPr>
          <w:rFonts w:hint="eastAsia"/>
        </w:rPr>
        <w:t>编辑培训计划；</w:t>
      </w:r>
    </w:p>
    <w:p>
      <w:pPr>
        <w:pStyle w:val="179"/>
        <w:numPr>
          <w:ilvl w:val="0"/>
          <w:numId w:val="48"/>
        </w:numPr>
      </w:pPr>
      <w:r>
        <w:rPr>
          <w:rFonts w:hint="eastAsia"/>
        </w:rPr>
        <w:t>关联课程；</w:t>
      </w:r>
    </w:p>
    <w:p>
      <w:pPr>
        <w:pStyle w:val="179"/>
        <w:numPr>
          <w:ilvl w:val="0"/>
          <w:numId w:val="48"/>
        </w:numPr>
      </w:pPr>
      <w:r>
        <w:rPr>
          <w:rFonts w:hint="eastAsia"/>
        </w:rPr>
        <w:t>添加员工；</w:t>
      </w:r>
    </w:p>
    <w:p>
      <w:pPr>
        <w:pStyle w:val="179"/>
        <w:numPr>
          <w:ilvl w:val="0"/>
          <w:numId w:val="48"/>
        </w:numPr>
      </w:pPr>
      <w:r>
        <w:rPr>
          <w:rFonts w:hint="eastAsia"/>
        </w:rPr>
        <w:t>关联试卷；</w:t>
      </w:r>
    </w:p>
    <w:p>
      <w:pPr>
        <w:pStyle w:val="179"/>
        <w:numPr>
          <w:ilvl w:val="0"/>
          <w:numId w:val="48"/>
        </w:numPr>
      </w:pPr>
      <w:r>
        <w:rPr>
          <w:rFonts w:hint="eastAsia"/>
        </w:rPr>
        <w:t>线上培训应考试，线下培训应签到。</w:t>
      </w:r>
    </w:p>
    <w:p>
      <w:pPr>
        <w:pStyle w:val="70"/>
        <w:spacing w:before="120" w:after="120"/>
      </w:pPr>
      <w:r>
        <w:rPr>
          <w:rFonts w:hint="eastAsia"/>
        </w:rPr>
        <w:t>课程管理</w:t>
      </w:r>
    </w:p>
    <w:p>
      <w:pPr>
        <w:pStyle w:val="61"/>
        <w:ind w:firstLine="420"/>
        <w:rPr>
          <w:rFonts w:hAnsi="宋体"/>
          <w:color w:val="000000"/>
        </w:rPr>
      </w:pPr>
      <w:r>
        <w:rPr>
          <w:rFonts w:hint="eastAsia" w:hAnsi="宋体"/>
          <w:color w:val="000000"/>
        </w:rPr>
        <w:t>课程管理宜包括以下内容：</w:t>
      </w:r>
    </w:p>
    <w:p>
      <w:pPr>
        <w:pStyle w:val="179"/>
        <w:numPr>
          <w:ilvl w:val="0"/>
          <w:numId w:val="49"/>
        </w:numPr>
      </w:pPr>
      <w:r>
        <w:rPr>
          <w:rFonts w:hint="eastAsia"/>
        </w:rPr>
        <w:t>新增/删除课程信息；</w:t>
      </w:r>
    </w:p>
    <w:p>
      <w:pPr>
        <w:pStyle w:val="179"/>
        <w:numPr>
          <w:ilvl w:val="0"/>
          <w:numId w:val="49"/>
        </w:numPr>
      </w:pPr>
      <w:r>
        <w:rPr>
          <w:rFonts w:hint="eastAsia"/>
        </w:rPr>
        <w:t>编辑课程信息；</w:t>
      </w:r>
    </w:p>
    <w:p>
      <w:pPr>
        <w:pStyle w:val="179"/>
        <w:numPr>
          <w:ilvl w:val="0"/>
          <w:numId w:val="49"/>
        </w:numPr>
      </w:pPr>
      <w:r>
        <w:rPr>
          <w:rFonts w:hint="eastAsia"/>
        </w:rPr>
        <w:t>添加章节信息；</w:t>
      </w:r>
    </w:p>
    <w:p>
      <w:pPr>
        <w:pStyle w:val="179"/>
        <w:numPr>
          <w:ilvl w:val="0"/>
          <w:numId w:val="49"/>
        </w:numPr>
      </w:pPr>
      <w:r>
        <w:rPr>
          <w:rFonts w:hint="eastAsia"/>
        </w:rPr>
        <w:t>课程基本信息宜包括课程名称、课程类别、课程讲师、课程封面、课程简介、课程详情。</w:t>
      </w:r>
    </w:p>
    <w:p>
      <w:pPr>
        <w:pStyle w:val="70"/>
        <w:spacing w:before="120" w:after="120"/>
      </w:pPr>
      <w:r>
        <w:rPr>
          <w:rFonts w:hint="eastAsia"/>
        </w:rPr>
        <w:t>讲师管理</w:t>
      </w:r>
    </w:p>
    <w:p>
      <w:pPr>
        <w:pStyle w:val="61"/>
        <w:ind w:firstLine="420"/>
        <w:rPr>
          <w:rFonts w:hAnsi="宋体"/>
          <w:color w:val="000000"/>
        </w:rPr>
      </w:pPr>
      <w:r>
        <w:rPr>
          <w:rFonts w:hint="eastAsia" w:hAnsi="宋体"/>
          <w:color w:val="000000"/>
        </w:rPr>
        <w:t>讲师管理宜包括以下内容：</w:t>
      </w:r>
    </w:p>
    <w:p>
      <w:pPr>
        <w:pStyle w:val="179"/>
        <w:numPr>
          <w:ilvl w:val="0"/>
          <w:numId w:val="50"/>
        </w:numPr>
      </w:pPr>
      <w:r>
        <w:rPr>
          <w:rFonts w:hint="eastAsia"/>
        </w:rPr>
        <w:t>新增/删除讲师信息；</w:t>
      </w:r>
    </w:p>
    <w:p>
      <w:pPr>
        <w:pStyle w:val="179"/>
        <w:numPr>
          <w:ilvl w:val="0"/>
          <w:numId w:val="50"/>
        </w:numPr>
      </w:pPr>
      <w:r>
        <w:rPr>
          <w:rFonts w:hint="eastAsia"/>
        </w:rPr>
        <w:t>编辑讲师信息；</w:t>
      </w:r>
    </w:p>
    <w:p>
      <w:pPr>
        <w:pStyle w:val="179"/>
        <w:numPr>
          <w:ilvl w:val="0"/>
          <w:numId w:val="50"/>
        </w:numPr>
      </w:pPr>
      <w:r>
        <w:rPr>
          <w:rFonts w:hint="eastAsia"/>
        </w:rPr>
        <w:t>讲师信息宜包括姓名、讲师类别、手机号码、讲师岗位、单位名称、培训内容、培训内容、资质证书、证书编号、资质等级、建档日期。</w:t>
      </w:r>
    </w:p>
    <w:p>
      <w:pPr>
        <w:pStyle w:val="70"/>
        <w:spacing w:before="120" w:after="120"/>
      </w:pPr>
      <w:r>
        <w:rPr>
          <w:rFonts w:hint="eastAsia"/>
        </w:rPr>
        <w:t>试题管理</w:t>
      </w:r>
    </w:p>
    <w:p>
      <w:pPr>
        <w:pStyle w:val="61"/>
        <w:ind w:firstLine="420"/>
        <w:rPr>
          <w:rFonts w:hAnsi="宋体"/>
          <w:color w:val="000000"/>
        </w:rPr>
      </w:pPr>
      <w:r>
        <w:rPr>
          <w:rFonts w:hint="eastAsia" w:hAnsi="宋体"/>
          <w:color w:val="000000"/>
        </w:rPr>
        <w:t>试题管理宜包括以下内容：</w:t>
      </w:r>
    </w:p>
    <w:p>
      <w:pPr>
        <w:pStyle w:val="179"/>
        <w:numPr>
          <w:ilvl w:val="0"/>
          <w:numId w:val="51"/>
        </w:numPr>
      </w:pPr>
      <w:r>
        <w:rPr>
          <w:rFonts w:hint="eastAsia"/>
        </w:rPr>
        <w:t>新增/删除试题；</w:t>
      </w:r>
    </w:p>
    <w:p>
      <w:pPr>
        <w:pStyle w:val="179"/>
        <w:numPr>
          <w:ilvl w:val="0"/>
          <w:numId w:val="51"/>
        </w:numPr>
      </w:pPr>
      <w:r>
        <w:rPr>
          <w:rFonts w:hint="eastAsia"/>
        </w:rPr>
        <w:t>编辑试题；</w:t>
      </w:r>
    </w:p>
    <w:p>
      <w:pPr>
        <w:pStyle w:val="179"/>
        <w:numPr>
          <w:ilvl w:val="0"/>
          <w:numId w:val="51"/>
        </w:numPr>
      </w:pPr>
      <w:r>
        <w:rPr>
          <w:rFonts w:hint="eastAsia"/>
        </w:rPr>
        <w:t>试题宜包括试题类型、试题分类、试题内容、选项、正确答案、试题分析。</w:t>
      </w:r>
    </w:p>
    <w:p>
      <w:pPr>
        <w:pStyle w:val="70"/>
        <w:spacing w:before="120" w:after="120"/>
      </w:pPr>
      <w:r>
        <w:rPr>
          <w:rFonts w:hint="eastAsia"/>
        </w:rPr>
        <w:t>试卷管理</w:t>
      </w:r>
    </w:p>
    <w:p>
      <w:pPr>
        <w:pStyle w:val="61"/>
        <w:ind w:firstLine="420"/>
        <w:rPr>
          <w:rFonts w:hAnsi="宋体"/>
          <w:color w:val="000000"/>
        </w:rPr>
      </w:pPr>
      <w:r>
        <w:rPr>
          <w:rFonts w:hint="eastAsia" w:hAnsi="宋体"/>
          <w:color w:val="000000"/>
        </w:rPr>
        <w:t>试卷管理宜包括以下内容：</w:t>
      </w:r>
    </w:p>
    <w:p>
      <w:pPr>
        <w:pStyle w:val="179"/>
        <w:numPr>
          <w:ilvl w:val="0"/>
          <w:numId w:val="52"/>
        </w:numPr>
      </w:pPr>
      <w:r>
        <w:rPr>
          <w:rFonts w:hint="eastAsia"/>
        </w:rPr>
        <w:t xml:space="preserve">新增/删除试卷； </w:t>
      </w:r>
    </w:p>
    <w:p>
      <w:pPr>
        <w:pStyle w:val="179"/>
        <w:numPr>
          <w:ilvl w:val="0"/>
          <w:numId w:val="52"/>
        </w:numPr>
      </w:pPr>
      <w:r>
        <w:rPr>
          <w:rFonts w:hint="eastAsia"/>
        </w:rPr>
        <w:t>编辑试卷；</w:t>
      </w:r>
    </w:p>
    <w:p>
      <w:pPr>
        <w:pStyle w:val="179"/>
        <w:numPr>
          <w:ilvl w:val="0"/>
          <w:numId w:val="52"/>
        </w:numPr>
      </w:pPr>
      <w:r>
        <w:rPr>
          <w:rFonts w:hint="eastAsia"/>
        </w:rPr>
        <w:t>试卷宜包括试卷名称、及格线、分数、是否补考、限时、公布时间、开始时间、结束时间、试卷描述。</w:t>
      </w:r>
    </w:p>
    <w:p>
      <w:pPr>
        <w:pStyle w:val="70"/>
        <w:spacing w:before="120" w:after="120"/>
      </w:pPr>
      <w:r>
        <w:rPr>
          <w:rFonts w:hint="eastAsia"/>
        </w:rPr>
        <w:t>培训统计</w:t>
      </w:r>
    </w:p>
    <w:p>
      <w:pPr>
        <w:pStyle w:val="61"/>
        <w:ind w:firstLine="420"/>
        <w:rPr>
          <w:rFonts w:hAnsi="宋体"/>
          <w:color w:val="000000"/>
        </w:rPr>
      </w:pPr>
      <w:r>
        <w:rPr>
          <w:rFonts w:hint="eastAsia" w:hAnsi="宋体"/>
          <w:color w:val="000000"/>
        </w:rPr>
        <w:t>培训统计宜按课程观看记录、讲师统计、培训方式、培训类型等确定。</w:t>
      </w:r>
    </w:p>
    <w:p>
      <w:pPr>
        <w:pStyle w:val="110"/>
        <w:spacing w:before="120" w:after="120"/>
      </w:pPr>
      <w:bookmarkStart w:id="220" w:name="_Toc99547384"/>
      <w:bookmarkStart w:id="221" w:name="_Toc32684"/>
      <w:bookmarkStart w:id="222" w:name="_Toc11691"/>
      <w:bookmarkStart w:id="223" w:name="_Toc99548477"/>
      <w:bookmarkStart w:id="224" w:name="_Toc99547238"/>
      <w:bookmarkStart w:id="225" w:name="_Toc99548252"/>
      <w:r>
        <w:rPr>
          <w:rFonts w:hint="eastAsia"/>
        </w:rPr>
        <w:t>安环投入</w:t>
      </w:r>
      <w:bookmarkEnd w:id="220"/>
      <w:bookmarkEnd w:id="221"/>
      <w:bookmarkEnd w:id="222"/>
      <w:bookmarkEnd w:id="223"/>
      <w:bookmarkEnd w:id="224"/>
      <w:bookmarkEnd w:id="225"/>
    </w:p>
    <w:p>
      <w:pPr>
        <w:pStyle w:val="70"/>
        <w:spacing w:before="120" w:after="120"/>
      </w:pPr>
      <w:r>
        <w:rPr>
          <w:rFonts w:hint="eastAsia"/>
        </w:rPr>
        <w:t>概述</w:t>
      </w:r>
    </w:p>
    <w:p>
      <w:pPr>
        <w:pStyle w:val="61"/>
        <w:ind w:firstLine="420"/>
        <w:rPr>
          <w:rFonts w:hAnsi="宋体"/>
          <w:color w:val="000000"/>
        </w:rPr>
      </w:pPr>
      <w:r>
        <w:rPr>
          <w:rFonts w:hint="eastAsia" w:hAnsi="宋体"/>
          <w:color w:val="000000"/>
        </w:rPr>
        <w:t>EHS宜具备安环投入功能模块，宜包括安环投入台账和安环投入统计。</w:t>
      </w:r>
    </w:p>
    <w:p>
      <w:pPr>
        <w:pStyle w:val="70"/>
        <w:spacing w:before="120" w:after="120"/>
      </w:pPr>
      <w:r>
        <w:rPr>
          <w:rFonts w:hint="eastAsia"/>
        </w:rPr>
        <w:t>安环投入台账</w:t>
      </w:r>
    </w:p>
    <w:p>
      <w:pPr>
        <w:pStyle w:val="61"/>
        <w:ind w:firstLine="420"/>
        <w:rPr>
          <w:rFonts w:hAnsi="宋体"/>
          <w:color w:val="000000"/>
        </w:rPr>
      </w:pPr>
      <w:r>
        <w:rPr>
          <w:rFonts w:hint="eastAsia" w:hAnsi="宋体"/>
          <w:color w:val="000000"/>
        </w:rPr>
        <w:t>安环投入台账宜包括以下内容：</w:t>
      </w:r>
    </w:p>
    <w:p>
      <w:pPr>
        <w:pStyle w:val="179"/>
        <w:numPr>
          <w:ilvl w:val="0"/>
          <w:numId w:val="53"/>
        </w:numPr>
      </w:pPr>
      <w:r>
        <w:rPr>
          <w:rFonts w:hint="eastAsia"/>
        </w:rPr>
        <w:t>新增/删除安环投入信息；</w:t>
      </w:r>
    </w:p>
    <w:p>
      <w:pPr>
        <w:pStyle w:val="179"/>
        <w:numPr>
          <w:ilvl w:val="0"/>
          <w:numId w:val="53"/>
        </w:numPr>
      </w:pPr>
      <w:r>
        <w:rPr>
          <w:rFonts w:hint="eastAsia"/>
        </w:rPr>
        <w:t>编辑安环投入信息；</w:t>
      </w:r>
    </w:p>
    <w:p>
      <w:pPr>
        <w:pStyle w:val="179"/>
        <w:numPr>
          <w:ilvl w:val="0"/>
          <w:numId w:val="53"/>
        </w:numPr>
      </w:pPr>
      <w:r>
        <w:rPr>
          <w:rFonts w:hint="eastAsia"/>
        </w:rPr>
        <w:t>安环投入实施；</w:t>
      </w:r>
    </w:p>
    <w:p>
      <w:pPr>
        <w:pStyle w:val="179"/>
        <w:numPr>
          <w:ilvl w:val="0"/>
          <w:numId w:val="53"/>
        </w:numPr>
      </w:pPr>
      <w:r>
        <w:rPr>
          <w:rFonts w:hint="eastAsia"/>
        </w:rPr>
        <w:t>安环投入信息宜包括：项目名称、费用类型、项目内容、计划日期、预计金额、责任部门、备注。</w:t>
      </w:r>
    </w:p>
    <w:p>
      <w:pPr>
        <w:pStyle w:val="70"/>
        <w:spacing w:before="120" w:after="120"/>
      </w:pPr>
      <w:r>
        <w:rPr>
          <w:rFonts w:hint="eastAsia"/>
        </w:rPr>
        <w:t>安环投入统计</w:t>
      </w:r>
    </w:p>
    <w:p>
      <w:pPr>
        <w:pStyle w:val="61"/>
        <w:ind w:firstLine="420"/>
        <w:rPr>
          <w:rFonts w:hAnsi="宋体"/>
          <w:color w:val="000000"/>
        </w:rPr>
      </w:pPr>
      <w:r>
        <w:rPr>
          <w:rFonts w:hint="eastAsia" w:hAnsi="宋体"/>
          <w:color w:val="000000"/>
        </w:rPr>
        <w:t>安环投入统计宜考虑可按费用类型进行统计、按费用年度、费用产生部门确定。</w:t>
      </w:r>
    </w:p>
    <w:p>
      <w:pPr>
        <w:pStyle w:val="110"/>
        <w:spacing w:before="120" w:after="120"/>
      </w:pPr>
      <w:bookmarkStart w:id="226" w:name="_Toc14864"/>
      <w:bookmarkStart w:id="227" w:name="_Toc24674"/>
      <w:bookmarkStart w:id="228" w:name="_Toc29681"/>
      <w:bookmarkStart w:id="229" w:name="_Toc9478"/>
      <w:bookmarkStart w:id="230" w:name="_Toc99548253"/>
      <w:bookmarkStart w:id="231" w:name="_Toc99547385"/>
      <w:bookmarkStart w:id="232" w:name="_Toc1343"/>
      <w:bookmarkStart w:id="233" w:name="_Toc2333"/>
      <w:bookmarkStart w:id="234" w:name="_Toc28422"/>
      <w:bookmarkStart w:id="235" w:name="_Toc99548478"/>
      <w:bookmarkStart w:id="236" w:name="_Toc17587"/>
      <w:bookmarkStart w:id="237" w:name="_Toc99547239"/>
      <w:bookmarkStart w:id="238" w:name="_Toc31749"/>
      <w:bookmarkStart w:id="239" w:name="_Toc28381"/>
      <w:r>
        <w:rPr>
          <w:rFonts w:hint="eastAsia"/>
        </w:rPr>
        <w:t>安委会组织</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70"/>
        <w:spacing w:before="120" w:after="120"/>
      </w:pPr>
      <w:r>
        <w:rPr>
          <w:rFonts w:hint="eastAsia"/>
        </w:rPr>
        <w:t>概述</w:t>
      </w:r>
    </w:p>
    <w:p>
      <w:pPr>
        <w:pStyle w:val="61"/>
        <w:ind w:firstLine="420"/>
        <w:rPr>
          <w:rFonts w:hAnsi="宋体"/>
          <w:color w:val="000000"/>
        </w:rPr>
      </w:pPr>
      <w:r>
        <w:rPr>
          <w:rFonts w:hint="eastAsia" w:hAnsi="宋体"/>
          <w:color w:val="000000"/>
        </w:rPr>
        <w:t>安委会组织宜包括：安委会管理、证书管理、员工档案、员工奖罚记录和公司奖罚记录。安委会组织机构功能架构见图4。</w:t>
      </w:r>
    </w:p>
    <w:p>
      <w:pPr>
        <w:pStyle w:val="236"/>
        <w:ind w:firstLine="0" w:firstLineChars="0"/>
        <w:jc w:val="center"/>
      </w:pPr>
      <w:r>
        <w:drawing>
          <wp:inline distT="0" distB="0" distL="114300" distR="114300">
            <wp:extent cx="3174365" cy="1708150"/>
            <wp:effectExtent l="0" t="0" r="6985" b="635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9"/>
                    <a:stretch>
                      <a:fillRect/>
                    </a:stretch>
                  </pic:blipFill>
                  <pic:spPr>
                    <a:xfrm>
                      <a:off x="0" y="0"/>
                      <a:ext cx="3174365" cy="1708150"/>
                    </a:xfrm>
                    <a:prstGeom prst="rect">
                      <a:avLst/>
                    </a:prstGeom>
                    <a:noFill/>
                    <a:ln>
                      <a:noFill/>
                    </a:ln>
                  </pic:spPr>
                </pic:pic>
              </a:graphicData>
            </a:graphic>
          </wp:inline>
        </w:drawing>
      </w:r>
    </w:p>
    <w:p>
      <w:pPr>
        <w:pStyle w:val="119"/>
        <w:spacing w:before="120" w:after="120"/>
      </w:pPr>
      <w:bookmarkStart w:id="240" w:name="_Toc99548399"/>
      <w:r>
        <w:rPr>
          <w:rFonts w:hint="eastAsia"/>
        </w:rPr>
        <w:t>安委会组织机构功能架构图</w:t>
      </w:r>
      <w:bookmarkEnd w:id="240"/>
    </w:p>
    <w:p>
      <w:pPr>
        <w:pStyle w:val="70"/>
        <w:spacing w:before="120" w:after="120"/>
      </w:pPr>
      <w:bookmarkStart w:id="241" w:name="_Toc11024"/>
      <w:r>
        <w:rPr>
          <w:rFonts w:hint="eastAsia"/>
        </w:rPr>
        <w:t>安委会</w:t>
      </w:r>
      <w:bookmarkEnd w:id="241"/>
      <w:r>
        <w:rPr>
          <w:rFonts w:hint="eastAsia"/>
        </w:rPr>
        <w:t>管理</w:t>
      </w:r>
    </w:p>
    <w:p>
      <w:pPr>
        <w:pStyle w:val="61"/>
        <w:ind w:firstLine="420"/>
        <w:rPr>
          <w:rFonts w:hAnsi="宋体"/>
          <w:color w:val="000000"/>
        </w:rPr>
      </w:pPr>
      <w:r>
        <w:rPr>
          <w:rFonts w:hint="eastAsia" w:hAnsi="宋体"/>
          <w:color w:val="000000"/>
        </w:rPr>
        <w:t>安委会管理宜包括以下内容：</w:t>
      </w:r>
    </w:p>
    <w:p>
      <w:pPr>
        <w:pStyle w:val="179"/>
        <w:numPr>
          <w:ilvl w:val="0"/>
          <w:numId w:val="54"/>
        </w:numPr>
      </w:pPr>
      <w:r>
        <w:rPr>
          <w:rFonts w:hint="eastAsia"/>
        </w:rPr>
        <w:t>新增/删除安委会组织和成员；</w:t>
      </w:r>
    </w:p>
    <w:p>
      <w:pPr>
        <w:pStyle w:val="179"/>
        <w:numPr>
          <w:ilvl w:val="0"/>
          <w:numId w:val="54"/>
        </w:numPr>
      </w:pPr>
      <w:r>
        <w:rPr>
          <w:rFonts w:hint="eastAsia"/>
        </w:rPr>
        <w:t>编辑安委会组织和成员。</w:t>
      </w:r>
    </w:p>
    <w:p>
      <w:pPr>
        <w:pStyle w:val="247"/>
      </w:pPr>
      <w:r>
        <w:rPr>
          <w:rFonts w:hint="eastAsia"/>
        </w:rPr>
        <w:t>安委会管理主要包括：组织名称、归属部门、组织职责、成立日期、姓名、岗位、主要职责、附件、备注。</w:t>
      </w:r>
    </w:p>
    <w:p>
      <w:pPr>
        <w:pStyle w:val="70"/>
        <w:spacing w:before="120" w:after="120"/>
      </w:pPr>
      <w:r>
        <w:rPr>
          <w:rFonts w:hint="eastAsia"/>
        </w:rPr>
        <w:t>证书管理</w:t>
      </w:r>
    </w:p>
    <w:p>
      <w:pPr>
        <w:pStyle w:val="61"/>
        <w:ind w:firstLine="420"/>
        <w:rPr>
          <w:rFonts w:hAnsi="宋体"/>
          <w:color w:val="000000"/>
        </w:rPr>
      </w:pPr>
      <w:r>
        <w:rPr>
          <w:rFonts w:hint="eastAsia" w:hAnsi="宋体"/>
          <w:color w:val="000000"/>
        </w:rPr>
        <w:t>证书管理宜包括以下内容：</w:t>
      </w:r>
    </w:p>
    <w:p>
      <w:pPr>
        <w:pStyle w:val="179"/>
        <w:numPr>
          <w:ilvl w:val="0"/>
          <w:numId w:val="55"/>
        </w:numPr>
      </w:pPr>
      <w:r>
        <w:rPr>
          <w:rFonts w:hint="eastAsia"/>
        </w:rPr>
        <w:t>新增/删除证书信息；</w:t>
      </w:r>
    </w:p>
    <w:p>
      <w:pPr>
        <w:pStyle w:val="179"/>
        <w:numPr>
          <w:ilvl w:val="0"/>
          <w:numId w:val="55"/>
        </w:numPr>
      </w:pPr>
      <w:r>
        <w:rPr>
          <w:rFonts w:hint="eastAsia"/>
        </w:rPr>
        <w:t>编辑证书信息。</w:t>
      </w:r>
    </w:p>
    <w:p>
      <w:pPr>
        <w:pStyle w:val="247"/>
      </w:pPr>
      <w:r>
        <w:rPr>
          <w:rFonts w:hint="eastAsia"/>
        </w:rPr>
        <w:t>证书管理主要包括：姓名、单位名称、证书类型、证书名称、证书编号、作业类别、初领日期、有效日期、复审有效期、换证日期、换证有效期、下次换证日期、发证机构、附件、备注。</w:t>
      </w:r>
    </w:p>
    <w:p>
      <w:pPr>
        <w:pStyle w:val="70"/>
        <w:spacing w:before="120" w:after="120"/>
      </w:pPr>
      <w:r>
        <w:rPr>
          <w:rFonts w:hint="eastAsia"/>
        </w:rPr>
        <w:t>员工档案</w:t>
      </w:r>
    </w:p>
    <w:p>
      <w:pPr>
        <w:pStyle w:val="61"/>
        <w:ind w:firstLine="420"/>
        <w:rPr>
          <w:rFonts w:hAnsi="宋体"/>
          <w:color w:val="000000"/>
        </w:rPr>
      </w:pPr>
      <w:r>
        <w:rPr>
          <w:rFonts w:hint="eastAsia" w:hAnsi="宋体"/>
          <w:color w:val="000000"/>
        </w:rPr>
        <w:t>员工档案宜包括以下内容：</w:t>
      </w:r>
    </w:p>
    <w:p>
      <w:pPr>
        <w:pStyle w:val="179"/>
        <w:numPr>
          <w:ilvl w:val="0"/>
          <w:numId w:val="56"/>
        </w:numPr>
      </w:pPr>
      <w:r>
        <w:rPr>
          <w:rFonts w:hint="eastAsia"/>
        </w:rPr>
        <w:t>新增/删除员工信息；</w:t>
      </w:r>
    </w:p>
    <w:p>
      <w:pPr>
        <w:pStyle w:val="179"/>
        <w:numPr>
          <w:ilvl w:val="0"/>
          <w:numId w:val="56"/>
        </w:numPr>
      </w:pPr>
      <w:r>
        <w:rPr>
          <w:rFonts w:hint="eastAsia"/>
        </w:rPr>
        <w:t>编辑员工信息；</w:t>
      </w:r>
    </w:p>
    <w:p>
      <w:pPr>
        <w:pStyle w:val="179"/>
        <w:numPr>
          <w:ilvl w:val="0"/>
          <w:numId w:val="56"/>
        </w:numPr>
      </w:pPr>
      <w:r>
        <w:rPr>
          <w:rFonts w:hint="eastAsia"/>
        </w:rPr>
        <w:t>关联员工责任书、培训记录、考试记录、资质证书、体检记录、奖罚记录和劳保用品领用等信息。</w:t>
      </w:r>
    </w:p>
    <w:p>
      <w:pPr>
        <w:pStyle w:val="70"/>
        <w:spacing w:before="120" w:after="120"/>
      </w:pPr>
      <w:r>
        <w:rPr>
          <w:rFonts w:hint="eastAsia"/>
        </w:rPr>
        <w:t>员工奖罚记录</w:t>
      </w:r>
    </w:p>
    <w:p>
      <w:pPr>
        <w:pStyle w:val="61"/>
        <w:ind w:firstLine="420"/>
        <w:rPr>
          <w:rFonts w:hAnsi="宋体"/>
          <w:color w:val="000000"/>
        </w:rPr>
      </w:pPr>
      <w:r>
        <w:rPr>
          <w:rFonts w:hint="eastAsia" w:hAnsi="宋体"/>
          <w:color w:val="000000"/>
        </w:rPr>
        <w:t>员工奖罚记录宜包括以下内容：</w:t>
      </w:r>
    </w:p>
    <w:p>
      <w:pPr>
        <w:pStyle w:val="179"/>
        <w:numPr>
          <w:ilvl w:val="0"/>
          <w:numId w:val="57"/>
        </w:numPr>
      </w:pPr>
      <w:r>
        <w:rPr>
          <w:rFonts w:hint="eastAsia"/>
        </w:rPr>
        <w:t>新增/删除奖罚信息；</w:t>
      </w:r>
    </w:p>
    <w:p>
      <w:pPr>
        <w:pStyle w:val="179"/>
        <w:numPr>
          <w:ilvl w:val="0"/>
          <w:numId w:val="57"/>
        </w:numPr>
      </w:pPr>
      <w:r>
        <w:rPr>
          <w:rFonts w:hint="eastAsia"/>
        </w:rPr>
        <w:t>编辑奖罚信息。</w:t>
      </w:r>
    </w:p>
    <w:p>
      <w:pPr>
        <w:pStyle w:val="247"/>
      </w:pPr>
      <w:r>
        <w:rPr>
          <w:rFonts w:hint="eastAsia"/>
        </w:rPr>
        <w:t>员工奖罚主要包括：姓名、工号、部门、日期、奖罚类型、奖罚金额、奖罚事由、附件、备注。</w:t>
      </w:r>
    </w:p>
    <w:p>
      <w:pPr>
        <w:pStyle w:val="70"/>
        <w:spacing w:before="120" w:after="120"/>
      </w:pPr>
      <w:r>
        <w:rPr>
          <w:rFonts w:hint="eastAsia"/>
        </w:rPr>
        <w:t>公司奖罚记录</w:t>
      </w:r>
    </w:p>
    <w:p>
      <w:pPr>
        <w:pStyle w:val="61"/>
        <w:ind w:firstLine="420"/>
        <w:rPr>
          <w:rFonts w:hAnsi="宋体"/>
          <w:color w:val="000000"/>
        </w:rPr>
      </w:pPr>
      <w:r>
        <w:rPr>
          <w:rFonts w:hint="eastAsia" w:hAnsi="宋体"/>
          <w:color w:val="000000"/>
        </w:rPr>
        <w:t>公司奖罚记录宜包括以下内容：</w:t>
      </w:r>
    </w:p>
    <w:p>
      <w:pPr>
        <w:pStyle w:val="179"/>
        <w:numPr>
          <w:ilvl w:val="0"/>
          <w:numId w:val="58"/>
        </w:numPr>
      </w:pPr>
      <w:r>
        <w:rPr>
          <w:rFonts w:hint="eastAsia"/>
        </w:rPr>
        <w:t>新增/删除奖罚信息；</w:t>
      </w:r>
    </w:p>
    <w:p>
      <w:pPr>
        <w:pStyle w:val="179"/>
        <w:numPr>
          <w:ilvl w:val="0"/>
          <w:numId w:val="58"/>
        </w:numPr>
      </w:pPr>
      <w:r>
        <w:rPr>
          <w:rFonts w:hint="eastAsia"/>
        </w:rPr>
        <w:t>编辑奖罚信息。</w:t>
      </w:r>
    </w:p>
    <w:p>
      <w:pPr>
        <w:pStyle w:val="110"/>
        <w:spacing w:before="120" w:after="120"/>
      </w:pPr>
      <w:bookmarkStart w:id="242" w:name="_Toc99547386"/>
      <w:bookmarkStart w:id="243" w:name="_Toc99548479"/>
      <w:bookmarkStart w:id="244" w:name="_Toc32242"/>
      <w:bookmarkStart w:id="245" w:name="_Toc11508"/>
      <w:bookmarkStart w:id="246" w:name="_Toc99548254"/>
      <w:bookmarkStart w:id="247" w:name="_Toc99547240"/>
      <w:r>
        <w:rPr>
          <w:rFonts w:hint="eastAsia"/>
        </w:rPr>
        <w:t>职责与目标</w:t>
      </w:r>
      <w:bookmarkEnd w:id="242"/>
      <w:bookmarkEnd w:id="243"/>
      <w:bookmarkEnd w:id="244"/>
      <w:bookmarkEnd w:id="245"/>
      <w:bookmarkEnd w:id="246"/>
      <w:bookmarkEnd w:id="247"/>
    </w:p>
    <w:p>
      <w:pPr>
        <w:pStyle w:val="70"/>
        <w:spacing w:before="120" w:after="120"/>
      </w:pPr>
      <w:r>
        <w:rPr>
          <w:rFonts w:hint="eastAsia"/>
        </w:rPr>
        <w:t>概述</w:t>
      </w:r>
    </w:p>
    <w:p>
      <w:pPr>
        <w:pStyle w:val="61"/>
        <w:ind w:firstLine="420"/>
        <w:rPr>
          <w:rFonts w:hAnsi="宋体"/>
          <w:color w:val="000000"/>
          <w:highlight w:val="yellow"/>
        </w:rPr>
      </w:pPr>
      <w:r>
        <w:rPr>
          <w:rFonts w:hint="eastAsia" w:hAnsi="宋体"/>
          <w:color w:val="000000"/>
          <w:highlight w:val="yellow"/>
        </w:rPr>
        <w:t>EHS系统宜具备职责与目标功能模块，职责与目标宜包括管理目标和目标责任书。根据铸造企业特点设置责任书，可按岗位职责实施落实安全业务。横向可按子公司、部门、车间分配安全任务，纵向可按领导、安全管理员、基层员工落实相关责任。</w:t>
      </w:r>
    </w:p>
    <w:p>
      <w:pPr>
        <w:pStyle w:val="70"/>
        <w:spacing w:before="120" w:after="120"/>
      </w:pPr>
      <w:r>
        <w:rPr>
          <w:rFonts w:hint="eastAsia"/>
        </w:rPr>
        <w:t>管理目标</w:t>
      </w:r>
    </w:p>
    <w:p>
      <w:pPr>
        <w:pStyle w:val="61"/>
        <w:ind w:firstLine="420"/>
        <w:rPr>
          <w:rFonts w:hAnsi="宋体"/>
          <w:color w:val="000000"/>
        </w:rPr>
      </w:pPr>
      <w:r>
        <w:rPr>
          <w:rFonts w:hint="eastAsia" w:hAnsi="宋体"/>
          <w:color w:val="000000"/>
        </w:rPr>
        <w:t>管理目标宜包括以下内容：</w:t>
      </w:r>
    </w:p>
    <w:p>
      <w:pPr>
        <w:pStyle w:val="179"/>
        <w:numPr>
          <w:ilvl w:val="0"/>
          <w:numId w:val="59"/>
        </w:numPr>
      </w:pPr>
      <w:r>
        <w:rPr>
          <w:rFonts w:hint="eastAsia"/>
        </w:rPr>
        <w:t>新增/删除管理目标；</w:t>
      </w:r>
    </w:p>
    <w:p>
      <w:pPr>
        <w:pStyle w:val="179"/>
        <w:numPr>
          <w:ilvl w:val="0"/>
          <w:numId w:val="59"/>
        </w:numPr>
      </w:pPr>
      <w:r>
        <w:rPr>
          <w:rFonts w:hint="eastAsia"/>
        </w:rPr>
        <w:t>编辑管理目标。</w:t>
      </w:r>
    </w:p>
    <w:p>
      <w:pPr>
        <w:pStyle w:val="247"/>
      </w:pPr>
      <w:r>
        <w:rPr>
          <w:rFonts w:hint="eastAsia"/>
        </w:rPr>
        <w:t>管理目标主要包括：目标名称、年度、目标层级、责任部门、责任人、目标类型（安全管理、环境管理、职业健康管理、EHS管理、设备管理；支持多选）、目标内容、管理方案、备注、附件。</w:t>
      </w:r>
    </w:p>
    <w:p>
      <w:pPr>
        <w:pStyle w:val="70"/>
        <w:spacing w:before="120" w:after="120"/>
      </w:pPr>
      <w:r>
        <w:rPr>
          <w:rFonts w:hint="eastAsia"/>
        </w:rPr>
        <w:t>目标责任书</w:t>
      </w:r>
    </w:p>
    <w:p>
      <w:pPr>
        <w:pStyle w:val="61"/>
        <w:ind w:firstLine="420"/>
        <w:rPr>
          <w:rFonts w:hAnsi="宋体"/>
          <w:color w:val="000000"/>
        </w:rPr>
      </w:pPr>
      <w:r>
        <w:rPr>
          <w:rFonts w:hint="eastAsia" w:hAnsi="宋体"/>
          <w:color w:val="000000"/>
        </w:rPr>
        <w:t>目标责任书宜包括以下内容：</w:t>
      </w:r>
    </w:p>
    <w:p>
      <w:pPr>
        <w:pStyle w:val="179"/>
        <w:numPr>
          <w:ilvl w:val="0"/>
          <w:numId w:val="60"/>
        </w:numPr>
      </w:pPr>
      <w:r>
        <w:rPr>
          <w:rFonts w:hint="eastAsia"/>
        </w:rPr>
        <w:t>新增/删除目标责任书；</w:t>
      </w:r>
    </w:p>
    <w:p>
      <w:pPr>
        <w:pStyle w:val="179"/>
        <w:numPr>
          <w:ilvl w:val="0"/>
          <w:numId w:val="60"/>
        </w:numPr>
      </w:pPr>
      <w:r>
        <w:rPr>
          <w:rFonts w:hint="eastAsia"/>
        </w:rPr>
        <w:t>编辑目标责任书；</w:t>
      </w:r>
    </w:p>
    <w:p>
      <w:pPr>
        <w:pStyle w:val="179"/>
        <w:numPr>
          <w:ilvl w:val="0"/>
          <w:numId w:val="60"/>
        </w:numPr>
      </w:pPr>
      <w:r>
        <w:rPr>
          <w:rFonts w:hint="eastAsia"/>
        </w:rPr>
        <w:t>审批目标责任书。</w:t>
      </w:r>
    </w:p>
    <w:p>
      <w:pPr>
        <w:pStyle w:val="247"/>
      </w:pPr>
      <w:r>
        <w:rPr>
          <w:rFonts w:hint="eastAsia"/>
        </w:rPr>
        <w:t>目标责任书主要包括：姓名、所属部门、岗位、责任书名称、签订日期、有效日期、附件和备注。</w:t>
      </w:r>
    </w:p>
    <w:p>
      <w:pPr>
        <w:pStyle w:val="110"/>
        <w:spacing w:before="120" w:after="120"/>
      </w:pPr>
      <w:bookmarkStart w:id="248" w:name="_Toc99548255"/>
      <w:bookmarkStart w:id="249" w:name="_Toc99547241"/>
      <w:bookmarkStart w:id="250" w:name="_Toc19445"/>
      <w:bookmarkStart w:id="251" w:name="_Toc99547387"/>
      <w:bookmarkStart w:id="252" w:name="_Toc99548480"/>
      <w:bookmarkStart w:id="253" w:name="_Toc16853"/>
      <w:r>
        <w:rPr>
          <w:rFonts w:hint="eastAsia"/>
        </w:rPr>
        <w:t>设备设施管理</w:t>
      </w:r>
      <w:bookmarkEnd w:id="248"/>
      <w:bookmarkEnd w:id="249"/>
      <w:bookmarkEnd w:id="250"/>
      <w:bookmarkEnd w:id="251"/>
      <w:bookmarkEnd w:id="252"/>
      <w:bookmarkEnd w:id="253"/>
    </w:p>
    <w:p>
      <w:pPr>
        <w:pStyle w:val="70"/>
        <w:spacing w:before="120" w:after="120"/>
      </w:pPr>
      <w:r>
        <w:rPr>
          <w:rFonts w:hint="eastAsia"/>
        </w:rPr>
        <w:t>概述</w:t>
      </w:r>
    </w:p>
    <w:p>
      <w:pPr>
        <w:pStyle w:val="61"/>
        <w:ind w:firstLine="420"/>
        <w:rPr>
          <w:rFonts w:hAnsi="宋体"/>
          <w:color w:val="000000"/>
        </w:rPr>
      </w:pPr>
      <w:r>
        <w:rPr>
          <w:rFonts w:hint="eastAsia" w:hAnsi="宋体"/>
          <w:color w:val="000000"/>
        </w:rPr>
        <w:t>EHS系统宜具备设备设施管理模块，宜包括设备设施台账相关信息统计分析与基础数据维护；设备运行、维保、检验、报废全流程管控，设备设施功能架构见图5。对造型机、射芯机、浇注机、抛丸清理机等特种设备，安全设施进行建档维护管理，设定检验周期，检验不合格或报废的设备系统将通过不同方式预警。</w:t>
      </w:r>
    </w:p>
    <w:p>
      <w:pPr>
        <w:widowControl/>
        <w:spacing w:line="240" w:lineRule="auto"/>
        <w:jc w:val="center"/>
      </w:pPr>
      <w:r>
        <w:drawing>
          <wp:inline distT="0" distB="0" distL="114300" distR="114300">
            <wp:extent cx="3374390" cy="1442720"/>
            <wp:effectExtent l="0" t="0" r="16510" b="508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20"/>
                    <a:stretch>
                      <a:fillRect/>
                    </a:stretch>
                  </pic:blipFill>
                  <pic:spPr>
                    <a:xfrm>
                      <a:off x="0" y="0"/>
                      <a:ext cx="3374390" cy="1442720"/>
                    </a:xfrm>
                    <a:prstGeom prst="rect">
                      <a:avLst/>
                    </a:prstGeom>
                    <a:noFill/>
                    <a:ln>
                      <a:noFill/>
                    </a:ln>
                  </pic:spPr>
                </pic:pic>
              </a:graphicData>
            </a:graphic>
          </wp:inline>
        </w:drawing>
      </w:r>
    </w:p>
    <w:p>
      <w:pPr>
        <w:pStyle w:val="119"/>
        <w:spacing w:before="120" w:after="120"/>
      </w:pPr>
      <w:bookmarkStart w:id="254" w:name="_Toc99548400"/>
      <w:r>
        <w:rPr>
          <w:rFonts w:hint="eastAsia"/>
        </w:rPr>
        <w:t>设备设施功能架构图</w:t>
      </w:r>
      <w:bookmarkEnd w:id="254"/>
    </w:p>
    <w:p>
      <w:pPr>
        <w:pStyle w:val="70"/>
        <w:spacing w:before="120" w:after="120"/>
      </w:pPr>
      <w:r>
        <w:rPr>
          <w:rFonts w:hint="eastAsia"/>
        </w:rPr>
        <w:t>设备设施台账</w:t>
      </w:r>
    </w:p>
    <w:p>
      <w:pPr>
        <w:pStyle w:val="61"/>
        <w:ind w:firstLine="420"/>
        <w:rPr>
          <w:rFonts w:hAnsi="宋体"/>
          <w:color w:val="000000"/>
        </w:rPr>
      </w:pPr>
      <w:r>
        <w:rPr>
          <w:rFonts w:hint="eastAsia" w:hAnsi="宋体"/>
          <w:color w:val="000000"/>
        </w:rPr>
        <w:t>设备设施台账宜包括以下内容：</w:t>
      </w:r>
    </w:p>
    <w:p>
      <w:pPr>
        <w:pStyle w:val="179"/>
        <w:numPr>
          <w:ilvl w:val="0"/>
          <w:numId w:val="61"/>
        </w:numPr>
      </w:pPr>
      <w:r>
        <w:rPr>
          <w:rFonts w:hint="eastAsia"/>
        </w:rPr>
        <w:t>新增/删除设备信息；</w:t>
      </w:r>
    </w:p>
    <w:p>
      <w:pPr>
        <w:pStyle w:val="179"/>
        <w:numPr>
          <w:ilvl w:val="0"/>
          <w:numId w:val="61"/>
        </w:numPr>
      </w:pPr>
      <w:r>
        <w:rPr>
          <w:rFonts w:hint="eastAsia"/>
        </w:rPr>
        <w:t>编辑设备信息；</w:t>
      </w:r>
    </w:p>
    <w:p>
      <w:pPr>
        <w:pStyle w:val="179"/>
        <w:numPr>
          <w:ilvl w:val="0"/>
          <w:numId w:val="61"/>
        </w:numPr>
      </w:pPr>
      <w:r>
        <w:rPr>
          <w:rFonts w:hint="eastAsia"/>
        </w:rPr>
        <w:t>检验设备；</w:t>
      </w:r>
    </w:p>
    <w:p>
      <w:pPr>
        <w:pStyle w:val="179"/>
        <w:numPr>
          <w:ilvl w:val="0"/>
          <w:numId w:val="61"/>
        </w:numPr>
      </w:pPr>
      <w:r>
        <w:rPr>
          <w:rFonts w:hint="eastAsia"/>
        </w:rPr>
        <w:t>报修设备；</w:t>
      </w:r>
    </w:p>
    <w:p>
      <w:pPr>
        <w:pStyle w:val="179"/>
        <w:numPr>
          <w:ilvl w:val="0"/>
          <w:numId w:val="61"/>
        </w:numPr>
      </w:pPr>
      <w:r>
        <w:rPr>
          <w:rFonts w:hint="eastAsia"/>
        </w:rPr>
        <w:t>报废设备。</w:t>
      </w:r>
    </w:p>
    <w:p>
      <w:pPr>
        <w:pStyle w:val="185"/>
      </w:pPr>
      <w:r>
        <w:rPr>
          <w:rFonts w:hint="eastAsia"/>
        </w:rPr>
        <w:t>设备基本信息主要包括：设备名称、设备编号、规格型号、设备类别、使用单位、安装地点、负责人、设备状态、检验周期。</w:t>
      </w:r>
    </w:p>
    <w:p>
      <w:pPr>
        <w:pStyle w:val="185"/>
      </w:pPr>
      <w:r>
        <w:rPr>
          <w:rFonts w:hint="eastAsia"/>
        </w:rPr>
        <w:t>设备购置信息主要包括：购置时间、供应商、制造厂家、品牌、出厂日期、出厂编号、购置金额、保修期等。</w:t>
      </w:r>
    </w:p>
    <w:p>
      <w:pPr>
        <w:pStyle w:val="70"/>
        <w:spacing w:before="120" w:after="120"/>
      </w:pPr>
      <w:r>
        <w:rPr>
          <w:rFonts w:hint="eastAsia"/>
        </w:rPr>
        <w:t>设备设施维保</w:t>
      </w:r>
    </w:p>
    <w:p>
      <w:pPr>
        <w:pStyle w:val="61"/>
        <w:ind w:firstLine="420"/>
        <w:rPr>
          <w:rFonts w:hAnsi="宋体"/>
          <w:color w:val="000000"/>
        </w:rPr>
      </w:pPr>
      <w:r>
        <w:rPr>
          <w:rFonts w:hint="eastAsia" w:hAnsi="宋体"/>
          <w:color w:val="000000"/>
        </w:rPr>
        <w:t>设备设施维修宜包括以下内容：</w:t>
      </w:r>
    </w:p>
    <w:p>
      <w:pPr>
        <w:pStyle w:val="179"/>
        <w:numPr>
          <w:ilvl w:val="0"/>
          <w:numId w:val="62"/>
        </w:numPr>
      </w:pPr>
      <w:r>
        <w:rPr>
          <w:rFonts w:hint="eastAsia"/>
        </w:rPr>
        <w:t>新增/删除维修信息；</w:t>
      </w:r>
    </w:p>
    <w:p>
      <w:pPr>
        <w:pStyle w:val="179"/>
        <w:numPr>
          <w:ilvl w:val="0"/>
          <w:numId w:val="62"/>
        </w:numPr>
      </w:pPr>
      <w:r>
        <w:rPr>
          <w:rFonts w:hint="eastAsia"/>
        </w:rPr>
        <w:t>编辑维修信息；</w:t>
      </w:r>
    </w:p>
    <w:p>
      <w:pPr>
        <w:pStyle w:val="179"/>
        <w:numPr>
          <w:ilvl w:val="0"/>
          <w:numId w:val="62"/>
        </w:numPr>
      </w:pPr>
      <w:r>
        <w:rPr>
          <w:rFonts w:hint="eastAsia"/>
        </w:rPr>
        <w:t>审核信息。</w:t>
      </w:r>
    </w:p>
    <w:p>
      <w:pPr>
        <w:pStyle w:val="247"/>
      </w:pPr>
      <w:r>
        <w:rPr>
          <w:rFonts w:hint="eastAsia"/>
        </w:rPr>
        <w:t>维修信息主要包括：设备基本信息、维修类型、维修单位、维修班组、维修工程师、维修开始时间、维修结束时间、维修工时、维修费用、材料费用、原因分析、维修情况。</w:t>
      </w:r>
    </w:p>
    <w:p>
      <w:pPr>
        <w:pStyle w:val="70"/>
        <w:spacing w:before="120" w:after="120"/>
      </w:pPr>
      <w:r>
        <w:rPr>
          <w:rFonts w:hint="eastAsia"/>
        </w:rPr>
        <w:t>设备设施报废</w:t>
      </w:r>
    </w:p>
    <w:p>
      <w:pPr>
        <w:pStyle w:val="61"/>
        <w:ind w:firstLine="420"/>
        <w:rPr>
          <w:rFonts w:hAnsi="宋体"/>
          <w:color w:val="000000"/>
        </w:rPr>
      </w:pPr>
      <w:r>
        <w:rPr>
          <w:rFonts w:hint="eastAsia" w:hAnsi="宋体"/>
          <w:color w:val="000000"/>
        </w:rPr>
        <w:t>设备设施报废宜包括以下内容：</w:t>
      </w:r>
    </w:p>
    <w:p>
      <w:pPr>
        <w:pStyle w:val="179"/>
        <w:numPr>
          <w:ilvl w:val="0"/>
          <w:numId w:val="63"/>
        </w:numPr>
      </w:pPr>
      <w:r>
        <w:rPr>
          <w:rFonts w:hint="eastAsia"/>
        </w:rPr>
        <w:t>新增/删除设备设施信息；</w:t>
      </w:r>
    </w:p>
    <w:p>
      <w:pPr>
        <w:pStyle w:val="179"/>
        <w:numPr>
          <w:ilvl w:val="0"/>
          <w:numId w:val="63"/>
        </w:numPr>
      </w:pPr>
      <w:r>
        <w:rPr>
          <w:rFonts w:hint="eastAsia"/>
        </w:rPr>
        <w:t>编辑设备设施信息；</w:t>
      </w:r>
    </w:p>
    <w:p>
      <w:pPr>
        <w:pStyle w:val="179"/>
        <w:numPr>
          <w:ilvl w:val="0"/>
          <w:numId w:val="63"/>
        </w:numPr>
      </w:pPr>
      <w:r>
        <w:rPr>
          <w:rFonts w:hint="eastAsia"/>
        </w:rPr>
        <w:t>审核设备设施报废。</w:t>
      </w:r>
    </w:p>
    <w:p>
      <w:pPr>
        <w:pStyle w:val="70"/>
        <w:spacing w:before="120" w:after="120"/>
      </w:pPr>
      <w:r>
        <w:rPr>
          <w:rFonts w:hint="eastAsia"/>
        </w:rPr>
        <w:t>设备统计分析</w:t>
      </w:r>
    </w:p>
    <w:p>
      <w:pPr>
        <w:pStyle w:val="61"/>
        <w:ind w:firstLine="420"/>
        <w:rPr>
          <w:rFonts w:hAnsi="宋体"/>
          <w:color w:val="000000"/>
        </w:rPr>
      </w:pPr>
      <w:bookmarkStart w:id="255" w:name="_Toc99547388"/>
      <w:bookmarkStart w:id="256" w:name="_Toc99548481"/>
      <w:bookmarkStart w:id="257" w:name="_Toc99547242"/>
      <w:bookmarkStart w:id="258" w:name="_Toc32585"/>
      <w:bookmarkStart w:id="259" w:name="_Toc31882"/>
      <w:bookmarkStart w:id="260" w:name="_Toc32537"/>
      <w:bookmarkStart w:id="261" w:name="_Toc22841"/>
      <w:bookmarkStart w:id="262" w:name="_Toc99548256"/>
      <w:bookmarkStart w:id="263" w:name="_Toc7565"/>
      <w:bookmarkStart w:id="264" w:name="_Toc14985"/>
      <w:bookmarkStart w:id="265" w:name="_Toc28383"/>
      <w:r>
        <w:rPr>
          <w:rFonts w:hint="eastAsia" w:hAnsi="宋体"/>
          <w:color w:val="000000"/>
        </w:rPr>
        <w:t>设备设施统计分析宜按设备总数、故障数量、维修中、保养中、维修费用、报废设备数等确定。</w:t>
      </w:r>
    </w:p>
    <w:p>
      <w:pPr>
        <w:pStyle w:val="110"/>
        <w:spacing w:before="120" w:after="120"/>
      </w:pPr>
      <w:r>
        <w:rPr>
          <w:rFonts w:hint="eastAsia"/>
        </w:rPr>
        <w:t>安全管理</w:t>
      </w:r>
      <w:bookmarkEnd w:id="181"/>
      <w:bookmarkEnd w:id="182"/>
      <w:bookmarkEnd w:id="183"/>
      <w:bookmarkEnd w:id="255"/>
      <w:bookmarkEnd w:id="256"/>
      <w:bookmarkEnd w:id="257"/>
      <w:bookmarkEnd w:id="258"/>
      <w:bookmarkEnd w:id="259"/>
      <w:bookmarkEnd w:id="260"/>
      <w:bookmarkEnd w:id="261"/>
      <w:bookmarkEnd w:id="262"/>
      <w:bookmarkEnd w:id="263"/>
      <w:bookmarkEnd w:id="264"/>
      <w:bookmarkEnd w:id="265"/>
    </w:p>
    <w:p>
      <w:pPr>
        <w:pStyle w:val="70"/>
        <w:spacing w:before="120" w:after="120"/>
      </w:pPr>
      <w:bookmarkStart w:id="266" w:name="_Toc29277"/>
      <w:bookmarkStart w:id="267" w:name="_Toc19141"/>
      <w:bookmarkStart w:id="268" w:name="_Toc15529"/>
      <w:bookmarkStart w:id="269" w:name="_Toc17043"/>
      <w:bookmarkStart w:id="270" w:name="_Toc3073"/>
      <w:bookmarkStart w:id="271" w:name="_Toc1829"/>
      <w:bookmarkStart w:id="272" w:name="_Toc6710"/>
      <w:bookmarkStart w:id="273" w:name="_Toc1161"/>
      <w:r>
        <w:rPr>
          <w:rFonts w:hint="eastAsia"/>
        </w:rPr>
        <w:t>概述</w:t>
      </w:r>
      <w:bookmarkEnd w:id="266"/>
      <w:bookmarkEnd w:id="267"/>
      <w:bookmarkEnd w:id="268"/>
      <w:bookmarkEnd w:id="269"/>
      <w:bookmarkEnd w:id="270"/>
      <w:bookmarkEnd w:id="271"/>
      <w:bookmarkEnd w:id="272"/>
      <w:bookmarkEnd w:id="273"/>
    </w:p>
    <w:p>
      <w:pPr>
        <w:pStyle w:val="61"/>
        <w:ind w:firstLine="420"/>
        <w:rPr>
          <w:rFonts w:hAnsi="宋体"/>
          <w:color w:val="000000"/>
          <w:highlight w:val="yellow"/>
        </w:rPr>
      </w:pPr>
      <w:r>
        <w:rPr>
          <w:rFonts w:hint="eastAsia" w:hAnsi="宋体"/>
          <w:color w:val="000000"/>
          <w:highlight w:val="yellow"/>
        </w:rPr>
        <w:t>EHS安全管理宜包括风险辨识管控、隐患排查治理、应急管理、消防管理、事故事件管理功能模块。</w:t>
      </w:r>
    </w:p>
    <w:p>
      <w:pPr>
        <w:pStyle w:val="70"/>
        <w:spacing w:before="120" w:after="120"/>
      </w:pPr>
      <w:bookmarkStart w:id="274" w:name="_Toc3630"/>
      <w:bookmarkStart w:id="275" w:name="_Toc13752"/>
      <w:bookmarkStart w:id="276" w:name="_Toc10718"/>
      <w:bookmarkStart w:id="277" w:name="_Toc6790"/>
      <w:bookmarkStart w:id="278" w:name="_Toc3006"/>
      <w:bookmarkStart w:id="279" w:name="_Toc11382"/>
      <w:bookmarkStart w:id="280" w:name="_Toc13109"/>
      <w:bookmarkStart w:id="281" w:name="_Toc19407"/>
      <w:r>
        <w:t>风险辨识管控</w:t>
      </w:r>
      <w:bookmarkEnd w:id="274"/>
      <w:bookmarkEnd w:id="275"/>
      <w:bookmarkEnd w:id="276"/>
      <w:bookmarkEnd w:id="277"/>
      <w:bookmarkEnd w:id="278"/>
      <w:bookmarkEnd w:id="279"/>
      <w:bookmarkEnd w:id="280"/>
      <w:bookmarkEnd w:id="281"/>
    </w:p>
    <w:p>
      <w:pPr>
        <w:pStyle w:val="99"/>
        <w:spacing w:before="120" w:after="120"/>
      </w:pPr>
      <w:bookmarkStart w:id="282" w:name="_Toc11087"/>
      <w:r>
        <w:rPr>
          <w:rFonts w:hint="eastAsia"/>
        </w:rPr>
        <w:t>概述</w:t>
      </w:r>
      <w:bookmarkEnd w:id="282"/>
    </w:p>
    <w:p>
      <w:pPr>
        <w:pStyle w:val="61"/>
        <w:ind w:firstLine="420"/>
        <w:rPr>
          <w:rFonts w:hAnsi="宋体"/>
          <w:color w:val="000000"/>
        </w:rPr>
      </w:pPr>
      <w:r>
        <w:rPr>
          <w:rFonts w:hint="eastAsia" w:hAnsi="宋体"/>
          <w:color w:val="000000"/>
        </w:rPr>
        <w:t>针对不同的铸造车间及厂区，划分为多个风险单元 ，针对风险单元进行风险评估，风险分级并制定管控措施。风险辨识管控宜包括：风险识别、风险管控、风险清单和风险统计功能，风险辨识管控功能架构见图6。</w:t>
      </w:r>
    </w:p>
    <w:p>
      <w:pPr>
        <w:pStyle w:val="236"/>
        <w:ind w:firstLine="0" w:firstLineChars="0"/>
        <w:jc w:val="center"/>
        <w:rPr>
          <w:rFonts w:ascii="Times New Roman"/>
        </w:rPr>
      </w:pPr>
      <w:r>
        <w:drawing>
          <wp:inline distT="0" distB="0" distL="114300" distR="114300">
            <wp:extent cx="3557270" cy="1520825"/>
            <wp:effectExtent l="0" t="0" r="5080" b="317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21"/>
                    <a:stretch>
                      <a:fillRect/>
                    </a:stretch>
                  </pic:blipFill>
                  <pic:spPr>
                    <a:xfrm>
                      <a:off x="0" y="0"/>
                      <a:ext cx="3557270" cy="1520825"/>
                    </a:xfrm>
                    <a:prstGeom prst="rect">
                      <a:avLst/>
                    </a:prstGeom>
                    <a:noFill/>
                    <a:ln>
                      <a:noFill/>
                    </a:ln>
                  </pic:spPr>
                </pic:pic>
              </a:graphicData>
            </a:graphic>
          </wp:inline>
        </w:drawing>
      </w:r>
    </w:p>
    <w:p>
      <w:pPr>
        <w:pStyle w:val="119"/>
        <w:spacing w:before="120" w:after="120"/>
      </w:pPr>
      <w:bookmarkStart w:id="283" w:name="_Toc99548401"/>
      <w:r>
        <w:rPr>
          <w:rFonts w:hint="eastAsia"/>
        </w:rPr>
        <w:t>风险辨识管控功能架构图</w:t>
      </w:r>
      <w:bookmarkEnd w:id="283"/>
    </w:p>
    <w:p>
      <w:pPr>
        <w:pStyle w:val="99"/>
        <w:spacing w:before="120" w:after="120"/>
      </w:pPr>
      <w:r>
        <w:rPr>
          <w:rFonts w:hint="eastAsia"/>
        </w:rPr>
        <w:t>风险识别</w:t>
      </w:r>
    </w:p>
    <w:p>
      <w:pPr>
        <w:pStyle w:val="61"/>
        <w:ind w:firstLine="420"/>
        <w:rPr>
          <w:rFonts w:hAnsi="宋体"/>
          <w:color w:val="000000"/>
        </w:rPr>
      </w:pPr>
      <w:r>
        <w:rPr>
          <w:rFonts w:hint="eastAsia" w:hAnsi="宋体"/>
          <w:color w:val="000000"/>
        </w:rPr>
        <w:t>风险因素辨识及分级应按作业、设备、环境、职业健康等确定，制定管控措施。系统提供风险矩阵打分法，LEC打分法，是非判断法等多种辨识方法；风险识别宜包括以下内容：</w:t>
      </w:r>
    </w:p>
    <w:p>
      <w:pPr>
        <w:pStyle w:val="179"/>
        <w:numPr>
          <w:ilvl w:val="0"/>
          <w:numId w:val="64"/>
        </w:numPr>
      </w:pPr>
      <w:r>
        <w:rPr>
          <w:rFonts w:hint="eastAsia"/>
        </w:rPr>
        <w:t>新增/删除风险；</w:t>
      </w:r>
    </w:p>
    <w:p>
      <w:pPr>
        <w:pStyle w:val="179"/>
        <w:numPr>
          <w:ilvl w:val="0"/>
          <w:numId w:val="64"/>
        </w:numPr>
      </w:pPr>
      <w:r>
        <w:rPr>
          <w:rFonts w:hint="eastAsia"/>
        </w:rPr>
        <w:t>编辑风险；</w:t>
      </w:r>
    </w:p>
    <w:p>
      <w:pPr>
        <w:pStyle w:val="179"/>
        <w:numPr>
          <w:ilvl w:val="0"/>
          <w:numId w:val="64"/>
        </w:numPr>
      </w:pPr>
      <w:r>
        <w:rPr>
          <w:rFonts w:hint="eastAsia"/>
        </w:rPr>
        <w:t>支持从铸造业标准知识库中引用风险；</w:t>
      </w:r>
    </w:p>
    <w:p>
      <w:pPr>
        <w:pStyle w:val="179"/>
        <w:numPr>
          <w:ilvl w:val="0"/>
          <w:numId w:val="64"/>
        </w:numPr>
      </w:pPr>
      <w:r>
        <w:rPr>
          <w:rFonts w:hint="eastAsia"/>
        </w:rPr>
        <w:t>评价风险。</w:t>
      </w:r>
    </w:p>
    <w:p>
      <w:pPr>
        <w:pStyle w:val="185"/>
        <w:numPr>
          <w:ilvl w:val="0"/>
          <w:numId w:val="65"/>
        </w:numPr>
      </w:pPr>
      <w:r>
        <w:rPr>
          <w:rFonts w:hint="eastAsia"/>
        </w:rPr>
        <w:t>风险识别信息主要包括：风险名称、风险类型、工作场所、活动/产品/服务、责任部门、危险有害因素、可导致的事故、管控层级、时态、风险状态（正常状态、异常状态、紧急状态）。</w:t>
      </w:r>
    </w:p>
    <w:p>
      <w:pPr>
        <w:pStyle w:val="185"/>
        <w:numPr>
          <w:ilvl w:val="0"/>
          <w:numId w:val="65"/>
        </w:numPr>
      </w:pPr>
      <w:r>
        <w:rPr>
          <w:rFonts w:hint="eastAsia"/>
        </w:rPr>
        <w:t>风险评价：LEC评价法/LSR评价法等评价方法、风险值、红/橙/黄/蓝等风险等级、备注。</w:t>
      </w:r>
    </w:p>
    <w:p>
      <w:pPr>
        <w:pStyle w:val="99"/>
        <w:spacing w:before="120" w:after="120"/>
      </w:pPr>
      <w:bookmarkStart w:id="284" w:name="_Toc6477"/>
      <w:r>
        <w:t>风险</w:t>
      </w:r>
      <w:bookmarkEnd w:id="284"/>
      <w:r>
        <w:rPr>
          <w:rFonts w:hint="eastAsia"/>
        </w:rPr>
        <w:t>管控</w:t>
      </w:r>
    </w:p>
    <w:p>
      <w:pPr>
        <w:pStyle w:val="61"/>
        <w:ind w:firstLine="420"/>
        <w:rPr>
          <w:rFonts w:hAnsi="宋体"/>
          <w:color w:val="000000"/>
        </w:rPr>
      </w:pPr>
      <w:r>
        <w:rPr>
          <w:rFonts w:hint="eastAsia" w:hAnsi="宋体"/>
          <w:color w:val="000000"/>
        </w:rPr>
        <w:t>辨识出的风险因素，制定管控措施，风险管控宜包括以下内容：</w:t>
      </w:r>
    </w:p>
    <w:p>
      <w:pPr>
        <w:pStyle w:val="179"/>
        <w:numPr>
          <w:ilvl w:val="0"/>
          <w:numId w:val="66"/>
        </w:numPr>
      </w:pPr>
      <w:r>
        <w:rPr>
          <w:rFonts w:hint="eastAsia"/>
        </w:rPr>
        <w:t>风险管控信息；</w:t>
      </w:r>
    </w:p>
    <w:p>
      <w:pPr>
        <w:pStyle w:val="179"/>
        <w:numPr>
          <w:ilvl w:val="0"/>
          <w:numId w:val="66"/>
        </w:numPr>
      </w:pPr>
      <w:r>
        <w:rPr>
          <w:rFonts w:hint="eastAsia"/>
        </w:rPr>
        <w:t>管控措施。</w:t>
      </w:r>
    </w:p>
    <w:p>
      <w:pPr>
        <w:pStyle w:val="247"/>
      </w:pPr>
      <w:bookmarkStart w:id="285" w:name="_Toc3061"/>
      <w:r>
        <w:rPr>
          <w:rFonts w:hint="eastAsia"/>
        </w:rPr>
        <w:t>管控措施信息主要包括：工程管控、管理措施、教育培训、应急处置、个体防护等管控类型，管控措施、责任部门、责任岗位等。</w:t>
      </w:r>
    </w:p>
    <w:p>
      <w:pPr>
        <w:pStyle w:val="99"/>
        <w:spacing w:before="120" w:after="120"/>
      </w:pPr>
      <w:r>
        <w:t>风险</w:t>
      </w:r>
      <w:bookmarkEnd w:id="285"/>
      <w:r>
        <w:rPr>
          <w:rFonts w:hint="eastAsia"/>
        </w:rPr>
        <w:t>清单</w:t>
      </w:r>
    </w:p>
    <w:p>
      <w:pPr>
        <w:pStyle w:val="61"/>
        <w:ind w:firstLine="420"/>
        <w:rPr>
          <w:rFonts w:hAnsi="宋体"/>
          <w:color w:val="000000"/>
        </w:rPr>
      </w:pPr>
      <w:r>
        <w:rPr>
          <w:rFonts w:hint="eastAsia" w:hAnsi="宋体"/>
          <w:color w:val="000000"/>
        </w:rPr>
        <w:t>应将不同的风险通过醒目的标志标识在工作岗位上，并支持风险告知卡查询及导出功能，风险清单宜包括以下内容：</w:t>
      </w:r>
    </w:p>
    <w:p>
      <w:pPr>
        <w:pStyle w:val="179"/>
        <w:numPr>
          <w:ilvl w:val="0"/>
          <w:numId w:val="67"/>
        </w:numPr>
      </w:pPr>
      <w:r>
        <w:rPr>
          <w:rFonts w:hint="eastAsia"/>
        </w:rPr>
        <w:t>形成风险清单；</w:t>
      </w:r>
    </w:p>
    <w:p>
      <w:pPr>
        <w:pStyle w:val="179"/>
        <w:numPr>
          <w:ilvl w:val="0"/>
          <w:numId w:val="67"/>
        </w:numPr>
      </w:pPr>
      <w:r>
        <w:rPr>
          <w:rFonts w:hint="eastAsia"/>
        </w:rPr>
        <w:t>导入风险清单；</w:t>
      </w:r>
    </w:p>
    <w:p>
      <w:pPr>
        <w:pStyle w:val="179"/>
        <w:numPr>
          <w:ilvl w:val="0"/>
          <w:numId w:val="67"/>
        </w:numPr>
      </w:pPr>
      <w:r>
        <w:rPr>
          <w:rFonts w:hint="eastAsia"/>
        </w:rPr>
        <w:t>风险分布图，大型铸造厂区可通过专业测绘地图展示区域风险，并支持风险点标记，按红橙黄蓝四色在区域图上动态显示；</w:t>
      </w:r>
    </w:p>
    <w:p>
      <w:pPr>
        <w:pStyle w:val="179"/>
        <w:numPr>
          <w:ilvl w:val="0"/>
          <w:numId w:val="67"/>
        </w:numPr>
      </w:pPr>
      <w:r>
        <w:rPr>
          <w:rFonts w:hint="eastAsia"/>
        </w:rPr>
        <w:t>安全风险告知与警示；</w:t>
      </w:r>
    </w:p>
    <w:p>
      <w:pPr>
        <w:pStyle w:val="179"/>
        <w:numPr>
          <w:ilvl w:val="0"/>
          <w:numId w:val="67"/>
        </w:numPr>
      </w:pPr>
      <w:r>
        <w:rPr>
          <w:rFonts w:hint="eastAsia"/>
        </w:rPr>
        <w:t>风险清单可导出Excel。</w:t>
      </w:r>
    </w:p>
    <w:p>
      <w:pPr>
        <w:pStyle w:val="99"/>
        <w:spacing w:before="120" w:after="120"/>
      </w:pPr>
      <w:bookmarkStart w:id="286" w:name="_Toc9814"/>
      <w:r>
        <w:t>风险统计</w:t>
      </w:r>
      <w:bookmarkEnd w:id="286"/>
      <w:r>
        <w:rPr>
          <w:rFonts w:hint="eastAsia"/>
        </w:rPr>
        <w:t>分析</w:t>
      </w:r>
    </w:p>
    <w:p>
      <w:pPr>
        <w:pStyle w:val="61"/>
        <w:ind w:firstLine="420"/>
        <w:rPr>
          <w:rFonts w:hAnsi="宋体"/>
          <w:color w:val="000000"/>
        </w:rPr>
      </w:pPr>
      <w:bookmarkStart w:id="287" w:name="_Toc17230"/>
      <w:bookmarkStart w:id="288" w:name="_Toc22146"/>
      <w:bookmarkStart w:id="289" w:name="_Toc17085"/>
      <w:bookmarkStart w:id="290" w:name="_Toc18512"/>
      <w:bookmarkStart w:id="291" w:name="_Toc24865"/>
      <w:bookmarkStart w:id="292" w:name="_Toc32341"/>
      <w:bookmarkStart w:id="293" w:name="_Toc9537"/>
      <w:bookmarkStart w:id="294" w:name="_Toc17637"/>
      <w:r>
        <w:rPr>
          <w:rFonts w:hint="eastAsia" w:hAnsi="宋体"/>
          <w:color w:val="000000"/>
        </w:rPr>
        <w:t>风险统计分析宜按风险任务、风险点、任务完成率、显著风险占比、风险达标控制率、等级类型、趋势等确定。</w:t>
      </w:r>
    </w:p>
    <w:p>
      <w:pPr>
        <w:pStyle w:val="70"/>
        <w:spacing w:before="120" w:after="120"/>
      </w:pPr>
      <w:r>
        <w:t>隐患</w:t>
      </w:r>
      <w:r>
        <w:rPr>
          <w:rFonts w:hint="eastAsia"/>
        </w:rPr>
        <w:t>排查</w:t>
      </w:r>
      <w:r>
        <w:t>治理</w:t>
      </w:r>
      <w:bookmarkEnd w:id="287"/>
      <w:bookmarkEnd w:id="288"/>
      <w:bookmarkEnd w:id="289"/>
      <w:bookmarkEnd w:id="290"/>
      <w:bookmarkEnd w:id="291"/>
      <w:bookmarkEnd w:id="292"/>
      <w:bookmarkEnd w:id="293"/>
      <w:bookmarkEnd w:id="294"/>
    </w:p>
    <w:p>
      <w:pPr>
        <w:pStyle w:val="99"/>
        <w:spacing w:before="120" w:after="120"/>
      </w:pPr>
      <w:bookmarkStart w:id="295" w:name="_Toc11817"/>
      <w:r>
        <w:t>概述</w:t>
      </w:r>
      <w:bookmarkEnd w:id="295"/>
    </w:p>
    <w:p>
      <w:pPr>
        <w:pStyle w:val="61"/>
        <w:ind w:firstLine="420"/>
        <w:rPr>
          <w:rFonts w:hAnsi="宋体"/>
          <w:color w:val="000000"/>
        </w:rPr>
      </w:pPr>
      <w:r>
        <w:rPr>
          <w:rFonts w:hint="eastAsia" w:hAnsi="宋体"/>
          <w:color w:val="000000"/>
        </w:rPr>
        <w:t>EHS宜具备隐患排查治理功能架构模块，可通过从隐患上报、确认、整改、验收进行闭环管控。隐患排查治理功能架构见图7。</w:t>
      </w:r>
    </w:p>
    <w:p>
      <w:pPr>
        <w:pStyle w:val="236"/>
        <w:ind w:firstLine="0" w:firstLineChars="0"/>
        <w:jc w:val="center"/>
      </w:pPr>
      <w:r>
        <w:drawing>
          <wp:inline distT="0" distB="0" distL="114300" distR="114300">
            <wp:extent cx="3610610" cy="1995170"/>
            <wp:effectExtent l="0" t="0" r="8890" b="508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2"/>
                    <a:stretch>
                      <a:fillRect/>
                    </a:stretch>
                  </pic:blipFill>
                  <pic:spPr>
                    <a:xfrm>
                      <a:off x="0" y="0"/>
                      <a:ext cx="3610610" cy="1995170"/>
                    </a:xfrm>
                    <a:prstGeom prst="rect">
                      <a:avLst/>
                    </a:prstGeom>
                    <a:noFill/>
                    <a:ln>
                      <a:noFill/>
                    </a:ln>
                  </pic:spPr>
                </pic:pic>
              </a:graphicData>
            </a:graphic>
          </wp:inline>
        </w:drawing>
      </w:r>
    </w:p>
    <w:p>
      <w:pPr>
        <w:pStyle w:val="119"/>
        <w:spacing w:before="120" w:after="120"/>
      </w:pPr>
      <w:bookmarkStart w:id="296" w:name="_Toc28488"/>
      <w:r>
        <w:rPr>
          <w:rFonts w:hint="eastAsia"/>
        </w:rPr>
        <w:t xml:space="preserve"> </w:t>
      </w:r>
      <w:bookmarkStart w:id="297" w:name="_Toc99548402"/>
      <w:r>
        <w:rPr>
          <w:rFonts w:hint="eastAsia"/>
        </w:rPr>
        <w:t>隐患排查治理功能架构图</w:t>
      </w:r>
      <w:bookmarkEnd w:id="296"/>
      <w:bookmarkEnd w:id="297"/>
    </w:p>
    <w:p>
      <w:pPr>
        <w:pStyle w:val="99"/>
        <w:spacing w:before="120" w:after="120"/>
      </w:pPr>
      <w:r>
        <w:rPr>
          <w:rFonts w:hint="eastAsia"/>
        </w:rPr>
        <w:t>安全检查</w:t>
      </w:r>
      <w:r>
        <w:rPr>
          <w:rFonts w:hint="eastAsia"/>
        </w:rPr>
        <w:tab/>
      </w:r>
    </w:p>
    <w:p>
      <w:pPr>
        <w:pStyle w:val="61"/>
        <w:ind w:firstLine="420"/>
        <w:rPr>
          <w:rFonts w:hAnsi="宋体"/>
          <w:color w:val="000000"/>
        </w:rPr>
      </w:pPr>
      <w:r>
        <w:rPr>
          <w:rFonts w:hint="eastAsia" w:hAnsi="宋体"/>
          <w:color w:val="000000"/>
        </w:rPr>
        <w:t>安全检查宜包括以下内容：</w:t>
      </w:r>
    </w:p>
    <w:p>
      <w:pPr>
        <w:pStyle w:val="179"/>
        <w:numPr>
          <w:ilvl w:val="0"/>
          <w:numId w:val="68"/>
        </w:numPr>
      </w:pPr>
      <w:r>
        <w:rPr>
          <w:rFonts w:hint="eastAsia"/>
        </w:rPr>
        <w:t>制定安全检查计划；</w:t>
      </w:r>
    </w:p>
    <w:p>
      <w:pPr>
        <w:pStyle w:val="179"/>
        <w:numPr>
          <w:ilvl w:val="0"/>
          <w:numId w:val="68"/>
        </w:numPr>
      </w:pPr>
      <w:r>
        <w:rPr>
          <w:rFonts w:hint="eastAsia"/>
        </w:rPr>
        <w:t>计划审批；</w:t>
      </w:r>
    </w:p>
    <w:p>
      <w:pPr>
        <w:pStyle w:val="179"/>
        <w:numPr>
          <w:ilvl w:val="0"/>
          <w:numId w:val="68"/>
        </w:numPr>
      </w:pPr>
      <w:r>
        <w:rPr>
          <w:rFonts w:hint="eastAsia"/>
        </w:rPr>
        <w:t>生成安全检查任务；</w:t>
      </w:r>
    </w:p>
    <w:p>
      <w:pPr>
        <w:pStyle w:val="179"/>
        <w:numPr>
          <w:ilvl w:val="0"/>
          <w:numId w:val="68"/>
        </w:numPr>
      </w:pPr>
      <w:r>
        <w:rPr>
          <w:rFonts w:hint="eastAsia"/>
        </w:rPr>
        <w:t>责任人执行任务，执行过程中发现隐患可直接上报；</w:t>
      </w:r>
    </w:p>
    <w:p>
      <w:pPr>
        <w:pStyle w:val="179"/>
        <w:numPr>
          <w:ilvl w:val="0"/>
          <w:numId w:val="68"/>
        </w:numPr>
      </w:pPr>
      <w:r>
        <w:rPr>
          <w:rFonts w:hint="eastAsia"/>
        </w:rPr>
        <w:t>生成安全检查报告。</w:t>
      </w:r>
    </w:p>
    <w:p>
      <w:pPr>
        <w:pStyle w:val="99"/>
        <w:spacing w:before="120" w:after="120"/>
      </w:pPr>
      <w:bookmarkStart w:id="298" w:name="_Toc8698"/>
      <w:r>
        <w:t>隐患</w:t>
      </w:r>
      <w:bookmarkEnd w:id="298"/>
      <w:r>
        <w:rPr>
          <w:rFonts w:hint="eastAsia"/>
        </w:rPr>
        <w:t>上报</w:t>
      </w:r>
    </w:p>
    <w:p>
      <w:pPr>
        <w:pStyle w:val="61"/>
        <w:ind w:firstLine="420"/>
        <w:rPr>
          <w:rFonts w:hAnsi="宋体"/>
          <w:color w:val="000000"/>
        </w:rPr>
      </w:pPr>
      <w:r>
        <w:rPr>
          <w:rFonts w:hint="eastAsia" w:hAnsi="宋体"/>
          <w:color w:val="000000"/>
        </w:rPr>
        <w:t>隐患上报宜由全员参与隐患排查。隐患上报宜包括以下内容：</w:t>
      </w:r>
    </w:p>
    <w:p>
      <w:pPr>
        <w:pStyle w:val="179"/>
        <w:numPr>
          <w:ilvl w:val="0"/>
          <w:numId w:val="69"/>
        </w:numPr>
      </w:pPr>
      <w:r>
        <w:rPr>
          <w:rFonts w:hint="eastAsia"/>
        </w:rPr>
        <w:t>新增/删除隐患；</w:t>
      </w:r>
    </w:p>
    <w:p>
      <w:pPr>
        <w:pStyle w:val="179"/>
        <w:numPr>
          <w:ilvl w:val="0"/>
          <w:numId w:val="69"/>
        </w:numPr>
      </w:pPr>
      <w:r>
        <w:rPr>
          <w:rFonts w:hint="eastAsia"/>
        </w:rPr>
        <w:t>编辑隐患；</w:t>
      </w:r>
    </w:p>
    <w:p>
      <w:pPr>
        <w:pStyle w:val="179"/>
        <w:numPr>
          <w:ilvl w:val="0"/>
          <w:numId w:val="69"/>
        </w:numPr>
      </w:pPr>
      <w:r>
        <w:rPr>
          <w:rFonts w:hint="eastAsia"/>
        </w:rPr>
        <w:t>支持从铸造行业标准隐患库中导入隐患。</w:t>
      </w:r>
    </w:p>
    <w:p>
      <w:pPr>
        <w:pStyle w:val="99"/>
        <w:spacing w:before="120" w:after="120"/>
      </w:pPr>
      <w:bookmarkStart w:id="299" w:name="_Toc8102"/>
      <w:r>
        <w:t>隐患</w:t>
      </w:r>
      <w:r>
        <w:rPr>
          <w:rFonts w:hint="eastAsia"/>
        </w:rPr>
        <w:t>审批</w:t>
      </w:r>
      <w:bookmarkEnd w:id="299"/>
    </w:p>
    <w:p>
      <w:pPr>
        <w:pStyle w:val="61"/>
        <w:ind w:firstLine="420"/>
        <w:rPr>
          <w:rFonts w:hAnsi="宋体"/>
          <w:color w:val="000000"/>
        </w:rPr>
      </w:pPr>
      <w:r>
        <w:rPr>
          <w:rFonts w:hint="eastAsia" w:hAnsi="宋体"/>
          <w:color w:val="000000"/>
        </w:rPr>
        <w:t>隐患排查发现的隐患建议进行审核批准。</w:t>
      </w:r>
    </w:p>
    <w:p>
      <w:pPr>
        <w:pStyle w:val="99"/>
        <w:spacing w:before="120" w:after="120"/>
      </w:pPr>
      <w:bookmarkStart w:id="300" w:name="_Toc15759"/>
      <w:r>
        <w:t>隐患管理</w:t>
      </w:r>
      <w:bookmarkEnd w:id="300"/>
    </w:p>
    <w:p>
      <w:pPr>
        <w:pStyle w:val="61"/>
        <w:ind w:firstLine="420"/>
        <w:rPr>
          <w:rFonts w:hAnsi="宋体"/>
          <w:color w:val="000000"/>
        </w:rPr>
      </w:pPr>
      <w:r>
        <w:rPr>
          <w:rFonts w:hint="eastAsia" w:hAnsi="宋体"/>
          <w:color w:val="000000"/>
        </w:rPr>
        <w:t>隐患管理宜包括以下内容：</w:t>
      </w:r>
    </w:p>
    <w:p>
      <w:pPr>
        <w:pStyle w:val="179"/>
        <w:numPr>
          <w:ilvl w:val="0"/>
          <w:numId w:val="70"/>
        </w:numPr>
      </w:pPr>
      <w:r>
        <w:rPr>
          <w:rFonts w:hint="eastAsia"/>
        </w:rPr>
        <w:t>隐患信息:隐患状态管理；</w:t>
      </w:r>
    </w:p>
    <w:p>
      <w:pPr>
        <w:pStyle w:val="179"/>
        <w:numPr>
          <w:ilvl w:val="0"/>
          <w:numId w:val="70"/>
        </w:numPr>
      </w:pPr>
      <w:r>
        <w:rPr>
          <w:rFonts w:hint="eastAsia"/>
        </w:rPr>
        <w:t>整改信息:确定整改责任人和要求；</w:t>
      </w:r>
    </w:p>
    <w:p>
      <w:pPr>
        <w:pStyle w:val="179"/>
        <w:numPr>
          <w:ilvl w:val="0"/>
          <w:numId w:val="70"/>
        </w:numPr>
      </w:pPr>
      <w:r>
        <w:rPr>
          <w:rFonts w:hint="eastAsia"/>
        </w:rPr>
        <w:t>验收信息:整改结果的验证。</w:t>
      </w:r>
    </w:p>
    <w:p>
      <w:pPr>
        <w:pStyle w:val="99"/>
        <w:spacing w:before="120" w:after="120"/>
      </w:pPr>
      <w:bookmarkStart w:id="301" w:name="_Toc4219"/>
      <w:r>
        <w:t>隐患统计</w:t>
      </w:r>
      <w:bookmarkEnd w:id="301"/>
      <w:r>
        <w:rPr>
          <w:rFonts w:hint="eastAsia"/>
        </w:rPr>
        <w:t>分析</w:t>
      </w:r>
    </w:p>
    <w:p>
      <w:pPr>
        <w:pStyle w:val="61"/>
        <w:ind w:firstLine="420"/>
      </w:pPr>
      <w:r>
        <w:rPr>
          <w:rStyle w:val="189"/>
          <w:rFonts w:hint="eastAsia"/>
        </w:rPr>
        <w:t>隐患统计分析宜按隐患排查项、发现隐患数、隐患排查完成率、隐患排查完成及时率、隐患整改完成率、隐患整改及时完成率、时间、检查主体、类型、趋势等确定。</w:t>
      </w:r>
    </w:p>
    <w:p>
      <w:pPr>
        <w:pStyle w:val="70"/>
        <w:spacing w:before="120" w:after="120"/>
      </w:pPr>
      <w:bookmarkStart w:id="302" w:name="_Toc26575"/>
      <w:bookmarkStart w:id="303" w:name="_Toc13022"/>
      <w:bookmarkStart w:id="304" w:name="_Toc4257"/>
      <w:bookmarkStart w:id="305" w:name="_Toc25934"/>
      <w:bookmarkStart w:id="306" w:name="_Toc9873"/>
      <w:bookmarkStart w:id="307" w:name="_Toc30288"/>
      <w:bookmarkStart w:id="308" w:name="_Toc3724"/>
      <w:bookmarkStart w:id="309" w:name="_Toc13531"/>
      <w:bookmarkStart w:id="310" w:name="_Toc32111"/>
      <w:r>
        <w:t>应急管理</w:t>
      </w:r>
      <w:bookmarkEnd w:id="302"/>
      <w:bookmarkEnd w:id="303"/>
      <w:bookmarkEnd w:id="304"/>
      <w:bookmarkEnd w:id="305"/>
      <w:bookmarkEnd w:id="306"/>
      <w:bookmarkEnd w:id="307"/>
      <w:bookmarkEnd w:id="308"/>
      <w:bookmarkEnd w:id="309"/>
      <w:bookmarkEnd w:id="310"/>
    </w:p>
    <w:p>
      <w:pPr>
        <w:pStyle w:val="99"/>
        <w:spacing w:before="120" w:after="120"/>
      </w:pPr>
      <w:bookmarkStart w:id="311" w:name="_Toc596"/>
      <w:r>
        <w:t>概述</w:t>
      </w:r>
      <w:bookmarkEnd w:id="311"/>
    </w:p>
    <w:p>
      <w:pPr>
        <w:pStyle w:val="61"/>
        <w:ind w:firstLine="420"/>
        <w:rPr>
          <w:rStyle w:val="189"/>
        </w:rPr>
      </w:pPr>
      <w:r>
        <w:rPr>
          <w:rStyle w:val="189"/>
          <w:rFonts w:hint="eastAsia"/>
        </w:rPr>
        <w:t>应急管理预案按事故类型等级制定，设立应急机构统筹划分救援工作，内外应急资源建档备案，保证应急快速、有序、高效进行。应急管理宜包含：应急预案管理、应急物资管理、应急演练管理等。应急管理功能架构见图8。</w:t>
      </w:r>
    </w:p>
    <w:p>
      <w:pPr>
        <w:pStyle w:val="236"/>
        <w:jc w:val="center"/>
      </w:pPr>
      <w:r>
        <w:drawing>
          <wp:inline distT="0" distB="0" distL="114300" distR="114300">
            <wp:extent cx="3625215" cy="2351405"/>
            <wp:effectExtent l="0" t="0" r="13335" b="10795"/>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3"/>
                    <a:stretch>
                      <a:fillRect/>
                    </a:stretch>
                  </pic:blipFill>
                  <pic:spPr>
                    <a:xfrm>
                      <a:off x="0" y="0"/>
                      <a:ext cx="3625215" cy="2351405"/>
                    </a:xfrm>
                    <a:prstGeom prst="rect">
                      <a:avLst/>
                    </a:prstGeom>
                    <a:noFill/>
                    <a:ln>
                      <a:noFill/>
                    </a:ln>
                  </pic:spPr>
                </pic:pic>
              </a:graphicData>
            </a:graphic>
          </wp:inline>
        </w:drawing>
      </w:r>
    </w:p>
    <w:p>
      <w:pPr>
        <w:pStyle w:val="119"/>
        <w:spacing w:before="120" w:after="120"/>
      </w:pPr>
      <w:bookmarkStart w:id="312" w:name="_Toc22382"/>
      <w:bookmarkStart w:id="313" w:name="_Toc99548403"/>
      <w:r>
        <w:rPr>
          <w:rFonts w:hint="eastAsia"/>
        </w:rPr>
        <w:t>应急管理功能架构图</w:t>
      </w:r>
      <w:bookmarkEnd w:id="312"/>
      <w:bookmarkEnd w:id="313"/>
    </w:p>
    <w:p>
      <w:pPr>
        <w:pStyle w:val="99"/>
        <w:spacing w:before="120" w:after="120"/>
      </w:pPr>
      <w:bookmarkStart w:id="314" w:name="_Toc22933"/>
      <w:r>
        <w:t>应急</w:t>
      </w:r>
      <w:bookmarkEnd w:id="314"/>
      <w:r>
        <w:rPr>
          <w:rFonts w:hint="eastAsia"/>
        </w:rPr>
        <w:t>物资管理</w:t>
      </w:r>
    </w:p>
    <w:p>
      <w:pPr>
        <w:pStyle w:val="61"/>
        <w:ind w:firstLine="420"/>
        <w:rPr>
          <w:rStyle w:val="189"/>
        </w:rPr>
      </w:pPr>
      <w:r>
        <w:rPr>
          <w:rStyle w:val="189"/>
          <w:rFonts w:hint="eastAsia"/>
        </w:rPr>
        <w:t>应急物资管理宜包括以下内容：</w:t>
      </w:r>
    </w:p>
    <w:p>
      <w:pPr>
        <w:pStyle w:val="179"/>
        <w:numPr>
          <w:ilvl w:val="0"/>
          <w:numId w:val="71"/>
        </w:numPr>
      </w:pPr>
      <w:r>
        <w:rPr>
          <w:rFonts w:hint="eastAsia"/>
        </w:rPr>
        <w:t>新增/删除应急物资；</w:t>
      </w:r>
    </w:p>
    <w:p>
      <w:pPr>
        <w:pStyle w:val="179"/>
        <w:numPr>
          <w:ilvl w:val="0"/>
          <w:numId w:val="71"/>
        </w:numPr>
      </w:pPr>
      <w:r>
        <w:rPr>
          <w:rFonts w:hint="eastAsia"/>
        </w:rPr>
        <w:t>编辑应急物资。</w:t>
      </w:r>
    </w:p>
    <w:p>
      <w:pPr>
        <w:pStyle w:val="247"/>
      </w:pPr>
      <w:r>
        <w:rPr>
          <w:rFonts w:hint="eastAsia"/>
        </w:rPr>
        <w:t>应急物资主要包括：物资名称、物资编号、物资型号、物资分类、存放位置、存放数量、物资用途、生产日期、投用日期、失效日期、使用期限、配备标准、附件、备注</w:t>
      </w:r>
      <w:r>
        <w:rPr>
          <w:rFonts w:hint="eastAsia" w:ascii="微软雅黑" w:hAnsi="微软雅黑" w:eastAsia="微软雅黑"/>
          <w:sz w:val="20"/>
          <w:szCs w:val="24"/>
        </w:rPr>
        <w:t>。</w:t>
      </w:r>
    </w:p>
    <w:p>
      <w:pPr>
        <w:pStyle w:val="99"/>
        <w:spacing w:before="120" w:after="120"/>
      </w:pPr>
      <w:bookmarkStart w:id="315" w:name="_Toc1656"/>
      <w:r>
        <w:t>应急</w:t>
      </w:r>
      <w:bookmarkEnd w:id="315"/>
      <w:r>
        <w:rPr>
          <w:rFonts w:hint="eastAsia"/>
        </w:rPr>
        <w:t>预案管理</w:t>
      </w:r>
    </w:p>
    <w:p>
      <w:pPr>
        <w:pStyle w:val="61"/>
        <w:ind w:firstLine="420"/>
        <w:rPr>
          <w:rStyle w:val="189"/>
        </w:rPr>
      </w:pPr>
      <w:r>
        <w:rPr>
          <w:rStyle w:val="189"/>
          <w:rFonts w:hint="eastAsia"/>
        </w:rPr>
        <w:t>应急预案管理宜包括以下内容：</w:t>
      </w:r>
    </w:p>
    <w:p>
      <w:pPr>
        <w:pStyle w:val="179"/>
        <w:numPr>
          <w:ilvl w:val="0"/>
          <w:numId w:val="72"/>
        </w:numPr>
      </w:pPr>
      <w:r>
        <w:rPr>
          <w:rFonts w:hint="eastAsia"/>
        </w:rPr>
        <w:t>新增/删除应急预案；</w:t>
      </w:r>
    </w:p>
    <w:p>
      <w:pPr>
        <w:pStyle w:val="179"/>
        <w:numPr>
          <w:ilvl w:val="0"/>
          <w:numId w:val="72"/>
        </w:numPr>
      </w:pPr>
      <w:r>
        <w:rPr>
          <w:rFonts w:hint="eastAsia"/>
        </w:rPr>
        <w:t>编辑应急预案；</w:t>
      </w:r>
    </w:p>
    <w:p>
      <w:pPr>
        <w:pStyle w:val="179"/>
        <w:numPr>
          <w:ilvl w:val="0"/>
          <w:numId w:val="72"/>
        </w:numPr>
      </w:pPr>
      <w:r>
        <w:rPr>
          <w:rFonts w:hint="eastAsia"/>
        </w:rPr>
        <w:t>评审应急预案。</w:t>
      </w:r>
    </w:p>
    <w:p>
      <w:pPr>
        <w:pStyle w:val="247"/>
      </w:pPr>
      <w:r>
        <w:rPr>
          <w:rFonts w:hint="eastAsia"/>
        </w:rPr>
        <w:t>应急预案主要包括：预案名称，综合应急预案、专项应急预案、现场处置方案等预案类型，预案级别、编写人、所属部门、预案目的、预案过程、预案描述、发布日期、附件。</w:t>
      </w:r>
    </w:p>
    <w:p>
      <w:pPr>
        <w:pStyle w:val="99"/>
        <w:spacing w:before="120" w:after="120"/>
      </w:pPr>
      <w:r>
        <w:rPr>
          <w:rFonts w:hint="eastAsia"/>
        </w:rPr>
        <w:t>演练计划管理</w:t>
      </w:r>
    </w:p>
    <w:p>
      <w:pPr>
        <w:pStyle w:val="61"/>
        <w:ind w:firstLine="420"/>
        <w:rPr>
          <w:rStyle w:val="189"/>
        </w:rPr>
      </w:pPr>
      <w:r>
        <w:rPr>
          <w:rStyle w:val="189"/>
          <w:rFonts w:hint="eastAsia"/>
        </w:rPr>
        <w:t>演练计划管理宜包括以下内容：</w:t>
      </w:r>
    </w:p>
    <w:p>
      <w:pPr>
        <w:pStyle w:val="179"/>
        <w:numPr>
          <w:ilvl w:val="0"/>
          <w:numId w:val="73"/>
        </w:numPr>
      </w:pPr>
      <w:r>
        <w:rPr>
          <w:rFonts w:hint="eastAsia"/>
        </w:rPr>
        <w:t>新增/删除演练计划基本信息和应急物资；</w:t>
      </w:r>
    </w:p>
    <w:p>
      <w:pPr>
        <w:pStyle w:val="179"/>
        <w:numPr>
          <w:ilvl w:val="0"/>
          <w:numId w:val="73"/>
        </w:numPr>
      </w:pPr>
      <w:r>
        <w:rPr>
          <w:rFonts w:hint="eastAsia"/>
        </w:rPr>
        <w:t>编辑演练计划基本信息和应急物资；</w:t>
      </w:r>
    </w:p>
    <w:p>
      <w:pPr>
        <w:pStyle w:val="179"/>
        <w:numPr>
          <w:ilvl w:val="0"/>
          <w:numId w:val="73"/>
        </w:numPr>
      </w:pPr>
      <w:r>
        <w:rPr>
          <w:rFonts w:hint="eastAsia"/>
        </w:rPr>
        <w:t>审批演练计划。</w:t>
      </w:r>
    </w:p>
    <w:p>
      <w:pPr>
        <w:pStyle w:val="99"/>
        <w:spacing w:before="120" w:after="120"/>
      </w:pPr>
      <w:bookmarkStart w:id="316" w:name="_Toc13811"/>
      <w:r>
        <w:t>演练计划</w:t>
      </w:r>
      <w:bookmarkEnd w:id="316"/>
      <w:r>
        <w:rPr>
          <w:rFonts w:hint="eastAsia"/>
        </w:rPr>
        <w:t>执行</w:t>
      </w:r>
    </w:p>
    <w:p>
      <w:pPr>
        <w:pStyle w:val="61"/>
        <w:ind w:firstLine="420"/>
        <w:rPr>
          <w:rStyle w:val="189"/>
        </w:rPr>
      </w:pPr>
      <w:r>
        <w:rPr>
          <w:rStyle w:val="189"/>
          <w:rFonts w:hint="eastAsia"/>
        </w:rPr>
        <w:t>演练计划执行宜包括计划基本信息，演习时间、演习地点、实际参加人数、责任人、情景设置、备注等信息，记录演练过程，演练时发现的隐患可立即发起隐患整改。</w:t>
      </w:r>
    </w:p>
    <w:p>
      <w:pPr>
        <w:pStyle w:val="99"/>
        <w:spacing w:before="120" w:after="120"/>
      </w:pPr>
      <w:bookmarkStart w:id="317" w:name="_Toc25846"/>
      <w:r>
        <w:t>演练计划总结</w:t>
      </w:r>
      <w:bookmarkEnd w:id="317"/>
    </w:p>
    <w:p>
      <w:pPr>
        <w:pStyle w:val="61"/>
        <w:ind w:firstLine="420"/>
        <w:rPr>
          <w:rStyle w:val="189"/>
        </w:rPr>
      </w:pPr>
      <w:r>
        <w:rPr>
          <w:rStyle w:val="189"/>
          <w:rFonts w:hint="eastAsia"/>
        </w:rPr>
        <w:t>演练计划总结宜对演练计划和实际演练效果进行总结。</w:t>
      </w:r>
    </w:p>
    <w:p>
      <w:pPr>
        <w:pStyle w:val="99"/>
        <w:spacing w:before="120" w:after="120"/>
      </w:pPr>
      <w:r>
        <w:rPr>
          <w:rFonts w:hint="eastAsia"/>
        </w:rPr>
        <w:t>演练计划评价</w:t>
      </w:r>
    </w:p>
    <w:p>
      <w:pPr>
        <w:pStyle w:val="61"/>
        <w:ind w:firstLine="420"/>
        <w:rPr>
          <w:rStyle w:val="189"/>
        </w:rPr>
      </w:pPr>
      <w:r>
        <w:rPr>
          <w:rStyle w:val="189"/>
          <w:rFonts w:hint="eastAsia"/>
        </w:rPr>
        <w:t>演练计划评价宜对演练实际效果评价。</w:t>
      </w:r>
    </w:p>
    <w:p>
      <w:pPr>
        <w:pStyle w:val="70"/>
        <w:spacing w:before="120" w:after="120"/>
      </w:pPr>
      <w:r>
        <w:rPr>
          <w:rFonts w:hint="eastAsia"/>
        </w:rPr>
        <w:t>消防</w:t>
      </w:r>
      <w:r>
        <w:t>管理</w:t>
      </w:r>
    </w:p>
    <w:p>
      <w:pPr>
        <w:pStyle w:val="99"/>
        <w:spacing w:before="120" w:after="120"/>
      </w:pPr>
      <w:r>
        <w:rPr>
          <w:rFonts w:hint="eastAsia"/>
        </w:rPr>
        <w:t xml:space="preserve"> 概述</w:t>
      </w:r>
    </w:p>
    <w:p>
      <w:pPr>
        <w:pStyle w:val="61"/>
        <w:ind w:firstLine="420"/>
        <w:rPr>
          <w:rStyle w:val="189"/>
        </w:rPr>
      </w:pPr>
      <w:r>
        <w:rPr>
          <w:rStyle w:val="189"/>
          <w:rFonts w:hint="eastAsia"/>
        </w:rPr>
        <w:t>消防管理宜包括消防组织机构、消防器材管理、消防工作计划、消防检查台账和消防统计，消防管理功能架构见图9。</w:t>
      </w:r>
    </w:p>
    <w:p>
      <w:pPr>
        <w:pStyle w:val="236"/>
        <w:ind w:firstLine="0" w:firstLineChars="0"/>
        <w:jc w:val="center"/>
      </w:pPr>
      <w:r>
        <w:drawing>
          <wp:inline distT="0" distB="0" distL="114300" distR="114300">
            <wp:extent cx="3575685" cy="1976120"/>
            <wp:effectExtent l="0" t="0" r="5715" b="5080"/>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pic:cNvPicPr>
                  </pic:nvPicPr>
                  <pic:blipFill>
                    <a:blip r:embed="rId24"/>
                    <a:stretch>
                      <a:fillRect/>
                    </a:stretch>
                  </pic:blipFill>
                  <pic:spPr>
                    <a:xfrm>
                      <a:off x="0" y="0"/>
                      <a:ext cx="3575685" cy="1976120"/>
                    </a:xfrm>
                    <a:prstGeom prst="rect">
                      <a:avLst/>
                    </a:prstGeom>
                    <a:noFill/>
                    <a:ln>
                      <a:noFill/>
                    </a:ln>
                  </pic:spPr>
                </pic:pic>
              </a:graphicData>
            </a:graphic>
          </wp:inline>
        </w:drawing>
      </w:r>
    </w:p>
    <w:p>
      <w:pPr>
        <w:pStyle w:val="119"/>
        <w:spacing w:before="120" w:after="120"/>
      </w:pPr>
      <w:bookmarkStart w:id="318" w:name="_Toc99548404"/>
      <w:r>
        <w:rPr>
          <w:rFonts w:hint="eastAsia"/>
        </w:rPr>
        <w:t>消防管理功能架构图</w:t>
      </w:r>
      <w:bookmarkEnd w:id="318"/>
    </w:p>
    <w:p>
      <w:pPr>
        <w:pStyle w:val="99"/>
        <w:spacing w:before="120" w:after="120"/>
      </w:pPr>
      <w:r>
        <w:rPr>
          <w:rFonts w:hint="eastAsia"/>
        </w:rPr>
        <w:t>消防组织机构</w:t>
      </w:r>
    </w:p>
    <w:p>
      <w:pPr>
        <w:pStyle w:val="61"/>
        <w:ind w:firstLine="420"/>
        <w:rPr>
          <w:rStyle w:val="189"/>
        </w:rPr>
      </w:pPr>
      <w:r>
        <w:rPr>
          <w:rStyle w:val="189"/>
          <w:rFonts w:hint="eastAsia"/>
        </w:rPr>
        <w:t>消防组织机构宜包括以下内容：</w:t>
      </w:r>
    </w:p>
    <w:p>
      <w:pPr>
        <w:pStyle w:val="179"/>
        <w:numPr>
          <w:ilvl w:val="0"/>
          <w:numId w:val="74"/>
        </w:numPr>
      </w:pPr>
      <w:r>
        <w:rPr>
          <w:rFonts w:hint="eastAsia"/>
        </w:rPr>
        <w:t>新增/删除消防组织机构；</w:t>
      </w:r>
    </w:p>
    <w:p>
      <w:pPr>
        <w:pStyle w:val="179"/>
        <w:numPr>
          <w:ilvl w:val="0"/>
          <w:numId w:val="74"/>
        </w:numPr>
      </w:pPr>
      <w:r>
        <w:rPr>
          <w:rFonts w:hint="eastAsia"/>
        </w:rPr>
        <w:t>编辑消防组织机构；</w:t>
      </w:r>
    </w:p>
    <w:p>
      <w:pPr>
        <w:pStyle w:val="179"/>
        <w:numPr>
          <w:ilvl w:val="0"/>
          <w:numId w:val="74"/>
        </w:numPr>
      </w:pPr>
      <w:r>
        <w:rPr>
          <w:rFonts w:hint="eastAsia"/>
        </w:rPr>
        <w:t>消防器材分布图。</w:t>
      </w:r>
    </w:p>
    <w:p>
      <w:pPr>
        <w:pStyle w:val="247"/>
      </w:pPr>
      <w:r>
        <w:rPr>
          <w:rFonts w:hint="eastAsia"/>
        </w:rPr>
        <w:t>消防组织机构主要包括：机构名称、值班电话、责任人、责任人职务、责任人电话、添加成员。</w:t>
      </w:r>
    </w:p>
    <w:p>
      <w:pPr>
        <w:pStyle w:val="99"/>
        <w:spacing w:before="120" w:after="120"/>
      </w:pPr>
      <w:r>
        <w:rPr>
          <w:rFonts w:hint="eastAsia"/>
        </w:rPr>
        <w:t>消防器材管理</w:t>
      </w:r>
    </w:p>
    <w:p>
      <w:pPr>
        <w:pStyle w:val="61"/>
        <w:ind w:firstLine="420"/>
        <w:rPr>
          <w:rStyle w:val="189"/>
        </w:rPr>
      </w:pPr>
      <w:r>
        <w:rPr>
          <w:rStyle w:val="189"/>
          <w:rFonts w:hint="eastAsia"/>
        </w:rPr>
        <w:t>消防器材管理宜包括以下内容：</w:t>
      </w:r>
    </w:p>
    <w:p>
      <w:pPr>
        <w:pStyle w:val="179"/>
        <w:numPr>
          <w:ilvl w:val="0"/>
          <w:numId w:val="75"/>
        </w:numPr>
      </w:pPr>
      <w:r>
        <w:rPr>
          <w:rFonts w:hint="eastAsia"/>
        </w:rPr>
        <w:t>新增/删除消防器材管理信息；</w:t>
      </w:r>
    </w:p>
    <w:p>
      <w:pPr>
        <w:pStyle w:val="179"/>
        <w:numPr>
          <w:ilvl w:val="0"/>
          <w:numId w:val="75"/>
        </w:numPr>
      </w:pPr>
      <w:r>
        <w:rPr>
          <w:rFonts w:hint="eastAsia"/>
        </w:rPr>
        <w:t>编辑消防器材管理信息。</w:t>
      </w:r>
    </w:p>
    <w:p>
      <w:pPr>
        <w:pStyle w:val="247"/>
      </w:pPr>
      <w:r>
        <w:rPr>
          <w:rFonts w:hint="eastAsia"/>
        </w:rPr>
        <w:t>消防器材管理主要包括：器材名称、编号、规格型号、器材类型、具体位置、责任人、运行状态、检验时间。</w:t>
      </w:r>
    </w:p>
    <w:p>
      <w:pPr>
        <w:pStyle w:val="99"/>
        <w:spacing w:before="120" w:after="120"/>
      </w:pPr>
      <w:r>
        <w:rPr>
          <w:rFonts w:hint="eastAsia"/>
        </w:rPr>
        <w:t>消防工作计划</w:t>
      </w:r>
    </w:p>
    <w:p>
      <w:pPr>
        <w:pStyle w:val="61"/>
        <w:ind w:firstLine="420"/>
        <w:rPr>
          <w:rStyle w:val="189"/>
        </w:rPr>
      </w:pPr>
      <w:r>
        <w:rPr>
          <w:rStyle w:val="189"/>
          <w:rFonts w:hint="eastAsia"/>
        </w:rPr>
        <w:t>消防工作计划宜包括以下内容：</w:t>
      </w:r>
    </w:p>
    <w:p>
      <w:pPr>
        <w:pStyle w:val="179"/>
        <w:numPr>
          <w:ilvl w:val="0"/>
          <w:numId w:val="76"/>
        </w:numPr>
      </w:pPr>
      <w:r>
        <w:rPr>
          <w:rFonts w:hint="eastAsia"/>
        </w:rPr>
        <w:t>新增/删除消防工作计划；</w:t>
      </w:r>
    </w:p>
    <w:p>
      <w:pPr>
        <w:pStyle w:val="179"/>
        <w:numPr>
          <w:ilvl w:val="0"/>
          <w:numId w:val="76"/>
        </w:numPr>
      </w:pPr>
      <w:r>
        <w:rPr>
          <w:rFonts w:hint="eastAsia"/>
        </w:rPr>
        <w:t>编辑消防工作计划；</w:t>
      </w:r>
    </w:p>
    <w:p>
      <w:pPr>
        <w:pStyle w:val="179"/>
        <w:numPr>
          <w:ilvl w:val="0"/>
          <w:numId w:val="76"/>
        </w:numPr>
      </w:pPr>
      <w:r>
        <w:rPr>
          <w:rFonts w:hint="eastAsia"/>
        </w:rPr>
        <w:t>导入工作计划。</w:t>
      </w:r>
    </w:p>
    <w:p>
      <w:pPr>
        <w:pStyle w:val="247"/>
      </w:pPr>
      <w:r>
        <w:rPr>
          <w:rFonts w:hint="eastAsia"/>
        </w:rPr>
        <w:t>消防工作计划主要包括：检查设施、检查周期、检查人、检查项。</w:t>
      </w:r>
    </w:p>
    <w:p>
      <w:pPr>
        <w:pStyle w:val="99"/>
        <w:spacing w:before="120" w:after="120"/>
      </w:pPr>
      <w:r>
        <w:rPr>
          <w:rFonts w:hint="eastAsia"/>
        </w:rPr>
        <w:t>消防检查台账</w:t>
      </w:r>
    </w:p>
    <w:p>
      <w:pPr>
        <w:pStyle w:val="61"/>
        <w:ind w:firstLine="420"/>
        <w:rPr>
          <w:rStyle w:val="189"/>
        </w:rPr>
      </w:pPr>
      <w:r>
        <w:rPr>
          <w:rStyle w:val="189"/>
          <w:rFonts w:hint="eastAsia"/>
        </w:rPr>
        <w:t>消防检查台账宜包括以下内容：</w:t>
      </w:r>
    </w:p>
    <w:p>
      <w:pPr>
        <w:pStyle w:val="179"/>
        <w:numPr>
          <w:ilvl w:val="0"/>
          <w:numId w:val="77"/>
        </w:numPr>
      </w:pPr>
      <w:r>
        <w:rPr>
          <w:rFonts w:hint="eastAsia"/>
        </w:rPr>
        <w:t>整改；</w:t>
      </w:r>
    </w:p>
    <w:p>
      <w:pPr>
        <w:pStyle w:val="179"/>
        <w:numPr>
          <w:ilvl w:val="0"/>
          <w:numId w:val="77"/>
        </w:numPr>
      </w:pPr>
      <w:r>
        <w:rPr>
          <w:rFonts w:hint="eastAsia"/>
        </w:rPr>
        <w:t>验收。</w:t>
      </w:r>
    </w:p>
    <w:p>
      <w:pPr>
        <w:pStyle w:val="99"/>
        <w:spacing w:before="120" w:after="120"/>
      </w:pPr>
      <w:r>
        <w:rPr>
          <w:rFonts w:hint="eastAsia"/>
        </w:rPr>
        <w:t>消防统计分析</w:t>
      </w:r>
    </w:p>
    <w:p>
      <w:pPr>
        <w:pStyle w:val="236"/>
        <w:ind w:firstLine="0" w:firstLineChars="0"/>
        <w:rPr>
          <w:rStyle w:val="189"/>
        </w:rPr>
      </w:pPr>
      <w:r>
        <w:rPr>
          <w:rFonts w:hint="eastAsia"/>
        </w:rPr>
        <w:t xml:space="preserve">    </w:t>
      </w:r>
      <w:r>
        <w:rPr>
          <w:rStyle w:val="189"/>
          <w:rFonts w:hint="eastAsia"/>
        </w:rPr>
        <w:t>消防统计分析宜按检查设施、故障中、已整改、整改完成率等确定。</w:t>
      </w:r>
    </w:p>
    <w:p>
      <w:pPr>
        <w:pStyle w:val="70"/>
        <w:spacing w:before="120" w:after="120"/>
      </w:pPr>
      <w:bookmarkStart w:id="319" w:name="_Toc30391"/>
      <w:bookmarkStart w:id="320" w:name="_Toc12643"/>
      <w:bookmarkStart w:id="321" w:name="_Toc3534"/>
      <w:bookmarkStart w:id="322" w:name="_Toc4962"/>
      <w:bookmarkStart w:id="323" w:name="_Toc6830"/>
      <w:bookmarkStart w:id="324" w:name="_Toc4795"/>
      <w:bookmarkStart w:id="325" w:name="_Toc23566"/>
      <w:bookmarkStart w:id="326" w:name="_Toc13140"/>
      <w:r>
        <w:t>事故</w:t>
      </w:r>
      <w:r>
        <w:rPr>
          <w:rFonts w:hint="eastAsia"/>
        </w:rPr>
        <w:t>事件</w:t>
      </w:r>
      <w:r>
        <w:t>管理</w:t>
      </w:r>
      <w:bookmarkEnd w:id="319"/>
      <w:bookmarkEnd w:id="320"/>
      <w:bookmarkEnd w:id="321"/>
      <w:bookmarkEnd w:id="322"/>
      <w:bookmarkEnd w:id="323"/>
      <w:bookmarkEnd w:id="324"/>
      <w:bookmarkEnd w:id="325"/>
      <w:bookmarkEnd w:id="326"/>
    </w:p>
    <w:p>
      <w:pPr>
        <w:pStyle w:val="99"/>
        <w:spacing w:before="120" w:after="120"/>
      </w:pPr>
      <w:bookmarkStart w:id="327" w:name="_Toc5401"/>
      <w:r>
        <w:t>概述</w:t>
      </w:r>
      <w:bookmarkEnd w:id="327"/>
    </w:p>
    <w:p>
      <w:pPr>
        <w:pStyle w:val="61"/>
        <w:ind w:firstLine="420"/>
      </w:pPr>
      <w:r>
        <w:rPr>
          <w:rFonts w:hint="eastAsia"/>
        </w:rPr>
        <w:t>EHS宜具备事故管理功能模块，主要针对事故实时上报，支持图片、文字等上传，建立规范的事故时间管理台账。事故事件管理宜包含：事故事件台账、事故工伤管理和事故统计，事故事件管理功能架构见图10。</w:t>
      </w:r>
    </w:p>
    <w:p>
      <w:pPr>
        <w:pStyle w:val="236"/>
        <w:ind w:firstLine="0" w:firstLineChars="0"/>
        <w:jc w:val="center"/>
      </w:pPr>
      <w:r>
        <w:drawing>
          <wp:inline distT="0" distB="0" distL="114300" distR="114300">
            <wp:extent cx="3477895" cy="1101725"/>
            <wp:effectExtent l="0" t="0" r="8255" b="3175"/>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pic:cNvPicPr>
                  </pic:nvPicPr>
                  <pic:blipFill>
                    <a:blip r:embed="rId25"/>
                    <a:stretch>
                      <a:fillRect/>
                    </a:stretch>
                  </pic:blipFill>
                  <pic:spPr>
                    <a:xfrm>
                      <a:off x="0" y="0"/>
                      <a:ext cx="3477895" cy="1101725"/>
                    </a:xfrm>
                    <a:prstGeom prst="rect">
                      <a:avLst/>
                    </a:prstGeom>
                    <a:noFill/>
                    <a:ln>
                      <a:noFill/>
                    </a:ln>
                  </pic:spPr>
                </pic:pic>
              </a:graphicData>
            </a:graphic>
          </wp:inline>
        </w:drawing>
      </w:r>
    </w:p>
    <w:p>
      <w:pPr>
        <w:pStyle w:val="119"/>
        <w:spacing w:before="120" w:after="120"/>
      </w:pPr>
      <w:bookmarkStart w:id="328" w:name="_Toc99548405"/>
      <w:r>
        <w:rPr>
          <w:rFonts w:hint="eastAsia"/>
        </w:rPr>
        <w:t>事故事件管理功能架构图</w:t>
      </w:r>
      <w:bookmarkEnd w:id="328"/>
    </w:p>
    <w:p>
      <w:pPr>
        <w:pStyle w:val="99"/>
        <w:spacing w:before="120" w:after="120"/>
      </w:pPr>
      <w:bookmarkStart w:id="329" w:name="_Toc22082"/>
      <w:r>
        <w:t>事故</w:t>
      </w:r>
      <w:bookmarkEnd w:id="329"/>
      <w:r>
        <w:rPr>
          <w:rFonts w:hint="eastAsia"/>
        </w:rPr>
        <w:t>事件台账</w:t>
      </w:r>
    </w:p>
    <w:p>
      <w:pPr>
        <w:pStyle w:val="61"/>
        <w:ind w:firstLine="420"/>
      </w:pPr>
      <w:r>
        <w:rPr>
          <w:rFonts w:hint="eastAsia"/>
        </w:rPr>
        <w:t>事故事件管理宜包括以下内容：</w:t>
      </w:r>
    </w:p>
    <w:p>
      <w:pPr>
        <w:pStyle w:val="179"/>
        <w:numPr>
          <w:ilvl w:val="0"/>
          <w:numId w:val="78"/>
        </w:numPr>
      </w:pPr>
      <w:r>
        <w:rPr>
          <w:rFonts w:hint="eastAsia"/>
        </w:rPr>
        <w:t>事故上报；</w:t>
      </w:r>
    </w:p>
    <w:p>
      <w:pPr>
        <w:pStyle w:val="179"/>
        <w:numPr>
          <w:ilvl w:val="0"/>
          <w:numId w:val="78"/>
        </w:numPr>
      </w:pPr>
      <w:r>
        <w:rPr>
          <w:rFonts w:hint="eastAsia"/>
        </w:rPr>
        <w:t>事故登记；</w:t>
      </w:r>
    </w:p>
    <w:p>
      <w:pPr>
        <w:pStyle w:val="179"/>
        <w:numPr>
          <w:ilvl w:val="0"/>
          <w:numId w:val="78"/>
        </w:numPr>
      </w:pPr>
      <w:r>
        <w:rPr>
          <w:rFonts w:hint="eastAsia"/>
        </w:rPr>
        <w:t>事故调查；</w:t>
      </w:r>
    </w:p>
    <w:p>
      <w:pPr>
        <w:pStyle w:val="179"/>
        <w:numPr>
          <w:ilvl w:val="0"/>
          <w:numId w:val="78"/>
        </w:numPr>
      </w:pPr>
      <w:r>
        <w:rPr>
          <w:rFonts w:hint="eastAsia"/>
        </w:rPr>
        <w:t>事故处理。</w:t>
      </w:r>
    </w:p>
    <w:p>
      <w:pPr>
        <w:pStyle w:val="185"/>
        <w:numPr>
          <w:ilvl w:val="0"/>
          <w:numId w:val="79"/>
        </w:numPr>
      </w:pPr>
      <w:r>
        <w:rPr>
          <w:rFonts w:hint="eastAsia"/>
        </w:rPr>
        <w:t>事故上报主要包括：事故情况和人员伤亡情况。</w:t>
      </w:r>
    </w:p>
    <w:p>
      <w:pPr>
        <w:pStyle w:val="185"/>
        <w:numPr>
          <w:ilvl w:val="0"/>
          <w:numId w:val="79"/>
        </w:numPr>
      </w:pPr>
      <w:r>
        <w:rPr>
          <w:rFonts w:hint="eastAsia"/>
        </w:rPr>
        <w:t>事故登记主要包括：基本情况、伤亡情况、事故调查修复、责任处理、人员伤亡情况。</w:t>
      </w:r>
    </w:p>
    <w:p>
      <w:pPr>
        <w:pStyle w:val="185"/>
        <w:numPr>
          <w:ilvl w:val="0"/>
          <w:numId w:val="79"/>
        </w:numPr>
      </w:pPr>
      <w:r>
        <w:rPr>
          <w:rFonts w:hint="eastAsia"/>
        </w:rPr>
        <w:t>事故调查主要包括：设备事故/安全事故等事故类别，事故等级、事故类型、事故原因、经济损失、修复时间、原因分析、预防措施、调查报告。</w:t>
      </w:r>
    </w:p>
    <w:p>
      <w:pPr>
        <w:pStyle w:val="185"/>
        <w:numPr>
          <w:ilvl w:val="0"/>
          <w:numId w:val="79"/>
        </w:numPr>
      </w:pPr>
      <w:r>
        <w:rPr>
          <w:rFonts w:hint="eastAsia"/>
        </w:rPr>
        <w:t>事故处理主要包括：责任部门、主要责任人、管理责任人、处理情况、事故处罚、事故报告、备注。</w:t>
      </w:r>
    </w:p>
    <w:p>
      <w:pPr>
        <w:pStyle w:val="99"/>
        <w:spacing w:before="120" w:after="120"/>
      </w:pPr>
      <w:r>
        <w:rPr>
          <w:rFonts w:hint="eastAsia"/>
        </w:rPr>
        <w:t>事故工伤管理</w:t>
      </w:r>
    </w:p>
    <w:p>
      <w:pPr>
        <w:pStyle w:val="61"/>
        <w:ind w:firstLine="420"/>
      </w:pPr>
      <w:r>
        <w:rPr>
          <w:rFonts w:hint="eastAsia"/>
        </w:rPr>
        <w:t>事故工伤管理宜包括以下内容：</w:t>
      </w:r>
    </w:p>
    <w:p>
      <w:pPr>
        <w:pStyle w:val="179"/>
        <w:numPr>
          <w:ilvl w:val="0"/>
          <w:numId w:val="80"/>
        </w:numPr>
      </w:pPr>
      <w:r>
        <w:rPr>
          <w:rFonts w:hint="eastAsia"/>
        </w:rPr>
        <w:t>新增/删除事故工伤信息；</w:t>
      </w:r>
    </w:p>
    <w:p>
      <w:pPr>
        <w:pStyle w:val="179"/>
        <w:numPr>
          <w:ilvl w:val="0"/>
          <w:numId w:val="80"/>
        </w:numPr>
      </w:pPr>
      <w:r>
        <w:rPr>
          <w:rFonts w:hint="eastAsia"/>
        </w:rPr>
        <w:t>编辑事故工伤信息。</w:t>
      </w:r>
    </w:p>
    <w:p>
      <w:pPr>
        <w:pStyle w:val="247"/>
        <w:rPr>
          <w:color w:val="000000"/>
        </w:rPr>
      </w:pPr>
      <w:r>
        <w:rPr>
          <w:rFonts w:hint="eastAsia"/>
        </w:rPr>
        <w:t>事故工伤管理主要包括：事故编号、姓名、部门、性别、受伤事件、伤害程度、受伤部位、工伤认定时间、伤残等级、停工留薪期、经济损失、医疗费用、补助金额、社保承担医疗费、公司承担医疗费、总金额、附件。</w:t>
      </w:r>
    </w:p>
    <w:p>
      <w:pPr>
        <w:pStyle w:val="99"/>
        <w:spacing w:before="120" w:after="120"/>
      </w:pPr>
      <w:bookmarkStart w:id="330" w:name="_Toc21433"/>
      <w:r>
        <w:t>事故</w:t>
      </w:r>
      <w:r>
        <w:rPr>
          <w:rFonts w:hint="eastAsia"/>
        </w:rPr>
        <w:t>统计</w:t>
      </w:r>
      <w:bookmarkEnd w:id="330"/>
      <w:r>
        <w:rPr>
          <w:rFonts w:hint="eastAsia"/>
        </w:rPr>
        <w:t>分析</w:t>
      </w:r>
    </w:p>
    <w:p>
      <w:pPr>
        <w:pStyle w:val="61"/>
        <w:ind w:firstLine="420"/>
      </w:pPr>
      <w:bookmarkStart w:id="331" w:name="_Toc21771"/>
      <w:bookmarkStart w:id="332" w:name="_Toc15030"/>
      <w:bookmarkStart w:id="333" w:name="_Toc99548257"/>
      <w:bookmarkStart w:id="334" w:name="_Toc2155"/>
      <w:bookmarkStart w:id="335" w:name="_Toc4772"/>
      <w:bookmarkStart w:id="336" w:name="_Toc32307"/>
      <w:bookmarkStart w:id="337" w:name="_Toc5159"/>
      <w:bookmarkStart w:id="338" w:name="_Toc14881"/>
      <w:bookmarkStart w:id="339" w:name="_Toc12520"/>
      <w:bookmarkStart w:id="340" w:name="_Toc5828"/>
      <w:bookmarkStart w:id="341" w:name="_Toc99548482"/>
      <w:bookmarkStart w:id="342" w:name="_Toc27168"/>
      <w:bookmarkStart w:id="343" w:name="_Toc99547389"/>
      <w:bookmarkStart w:id="344" w:name="_Toc99547243"/>
      <w:r>
        <w:rPr>
          <w:rFonts w:hint="eastAsia"/>
        </w:rPr>
        <w:t>事故统计分析宜按事故级别、事故类别、伤害程度、伤害部位等确定。</w:t>
      </w:r>
    </w:p>
    <w:p>
      <w:pPr>
        <w:pStyle w:val="110"/>
        <w:spacing w:before="120" w:after="120"/>
      </w:pPr>
      <w:r>
        <w:rPr>
          <w:rFonts w:hint="eastAsia"/>
        </w:rPr>
        <w:t>环境管理</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70"/>
        <w:spacing w:before="120" w:after="120"/>
      </w:pPr>
      <w:bookmarkStart w:id="345" w:name="_Toc30212"/>
      <w:bookmarkStart w:id="346" w:name="_Toc32593"/>
      <w:bookmarkStart w:id="347" w:name="_Toc18999"/>
      <w:bookmarkStart w:id="348" w:name="_Toc9726"/>
      <w:bookmarkStart w:id="349" w:name="_Toc5032"/>
      <w:bookmarkStart w:id="350" w:name="_Toc9248"/>
      <w:bookmarkStart w:id="351" w:name="_Toc21059"/>
      <w:bookmarkStart w:id="352" w:name="_Toc10253"/>
      <w:r>
        <w:t>概述</w:t>
      </w:r>
      <w:bookmarkEnd w:id="345"/>
      <w:bookmarkEnd w:id="346"/>
      <w:bookmarkEnd w:id="347"/>
      <w:bookmarkEnd w:id="348"/>
      <w:bookmarkEnd w:id="349"/>
      <w:bookmarkEnd w:id="350"/>
      <w:bookmarkEnd w:id="351"/>
      <w:bookmarkEnd w:id="352"/>
    </w:p>
    <w:p>
      <w:pPr>
        <w:pStyle w:val="61"/>
        <w:ind w:firstLine="420"/>
      </w:pPr>
      <w:r>
        <w:rPr>
          <w:rFonts w:hint="eastAsia"/>
        </w:rPr>
        <w:t>EHS系统宜具备环境管理模块，建立环境因素档案，输出环境因素清单，</w:t>
      </w:r>
      <w:r>
        <w:rPr>
          <w:rFonts w:hint="eastAsia"/>
        </w:rPr>
        <w:tab/>
      </w:r>
      <w:r>
        <w:rPr>
          <w:rFonts w:hint="eastAsia"/>
        </w:rPr>
        <w:t>环境管理功能架构见图11。</w:t>
      </w:r>
    </w:p>
    <w:p>
      <w:pPr>
        <w:pStyle w:val="236"/>
        <w:ind w:firstLine="0" w:firstLineChars="0"/>
        <w:jc w:val="center"/>
      </w:pPr>
      <w:r>
        <w:drawing>
          <wp:inline distT="0" distB="0" distL="114300" distR="114300">
            <wp:extent cx="3437890" cy="2649855"/>
            <wp:effectExtent l="0" t="0" r="10160" b="17145"/>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pic:cNvPicPr>
                  </pic:nvPicPr>
                  <pic:blipFill>
                    <a:blip r:embed="rId26"/>
                    <a:stretch>
                      <a:fillRect/>
                    </a:stretch>
                  </pic:blipFill>
                  <pic:spPr>
                    <a:xfrm>
                      <a:off x="0" y="0"/>
                      <a:ext cx="3437890" cy="2649855"/>
                    </a:xfrm>
                    <a:prstGeom prst="rect">
                      <a:avLst/>
                    </a:prstGeom>
                    <a:noFill/>
                    <a:ln>
                      <a:noFill/>
                    </a:ln>
                  </pic:spPr>
                </pic:pic>
              </a:graphicData>
            </a:graphic>
          </wp:inline>
        </w:drawing>
      </w:r>
    </w:p>
    <w:p>
      <w:pPr>
        <w:pStyle w:val="119"/>
        <w:spacing w:before="120" w:after="120"/>
      </w:pPr>
      <w:bookmarkStart w:id="353" w:name="_Toc99548406"/>
      <w:r>
        <w:rPr>
          <w:rFonts w:hint="eastAsia"/>
        </w:rPr>
        <w:t>环境管理功能架构图</w:t>
      </w:r>
      <w:bookmarkEnd w:id="353"/>
    </w:p>
    <w:p>
      <w:pPr>
        <w:pStyle w:val="70"/>
        <w:spacing w:before="120" w:after="120"/>
      </w:pPr>
      <w:r>
        <w:rPr>
          <w:rFonts w:hint="eastAsia"/>
        </w:rPr>
        <w:t>环境因素管理</w:t>
      </w:r>
    </w:p>
    <w:p>
      <w:pPr>
        <w:pStyle w:val="61"/>
        <w:ind w:firstLine="420"/>
      </w:pPr>
      <w:r>
        <w:rPr>
          <w:rFonts w:hint="eastAsia"/>
        </w:rPr>
        <w:t>铸造企业EHS系统为工业废水、废气、固废和噪音管理提供检测标准，环境因素管理宜包括以下内容：</w:t>
      </w:r>
    </w:p>
    <w:p>
      <w:pPr>
        <w:pStyle w:val="179"/>
        <w:numPr>
          <w:ilvl w:val="0"/>
          <w:numId w:val="81"/>
        </w:numPr>
      </w:pPr>
      <w:r>
        <w:rPr>
          <w:rFonts w:hint="eastAsia"/>
        </w:rPr>
        <w:t>新增/删除环境因素；</w:t>
      </w:r>
    </w:p>
    <w:p>
      <w:pPr>
        <w:pStyle w:val="179"/>
        <w:numPr>
          <w:ilvl w:val="0"/>
          <w:numId w:val="81"/>
        </w:numPr>
      </w:pPr>
      <w:r>
        <w:rPr>
          <w:rFonts w:hint="eastAsia"/>
        </w:rPr>
        <w:t>编辑环境因素。</w:t>
      </w:r>
      <w:r>
        <w:rPr>
          <w:rFonts w:hint="eastAsia"/>
        </w:rPr>
        <w:tab/>
      </w:r>
    </w:p>
    <w:p>
      <w:pPr>
        <w:pStyle w:val="185"/>
        <w:numPr>
          <w:ilvl w:val="0"/>
          <w:numId w:val="82"/>
        </w:numPr>
      </w:pPr>
      <w:r>
        <w:rPr>
          <w:rFonts w:hint="eastAsia"/>
        </w:rPr>
        <w:t>环境因素管理主要包括：因素编号、环境因素、因素级别、国家标准、行业标准、地方标准、阈值、所属区域、设备设施、设备编号、环境可能危害、管控措施、备注等。</w:t>
      </w:r>
    </w:p>
    <w:p>
      <w:pPr>
        <w:pStyle w:val="185"/>
        <w:numPr>
          <w:ilvl w:val="0"/>
          <w:numId w:val="82"/>
        </w:numPr>
      </w:pPr>
      <w:r>
        <w:rPr>
          <w:rFonts w:hint="eastAsia"/>
        </w:rPr>
        <w:t>环境因素管理绑定设备可选。</w:t>
      </w:r>
    </w:p>
    <w:p>
      <w:pPr>
        <w:pStyle w:val="70"/>
        <w:spacing w:before="120" w:after="120"/>
      </w:pPr>
      <w:r>
        <w:rPr>
          <w:rFonts w:hint="eastAsia"/>
        </w:rPr>
        <w:t>环境因素监测</w:t>
      </w:r>
    </w:p>
    <w:p>
      <w:pPr>
        <w:pStyle w:val="61"/>
        <w:ind w:firstLine="420"/>
      </w:pPr>
      <w:r>
        <w:rPr>
          <w:rFonts w:hint="eastAsia"/>
        </w:rPr>
        <w:t>制定检测计划，对重点位置实行定期检测提醒，输出检测记录台账，方便查看和统计。环境因素监测主要是对各环境因素日常监测，宜包括以下内容：</w:t>
      </w:r>
    </w:p>
    <w:p>
      <w:pPr>
        <w:pStyle w:val="179"/>
        <w:numPr>
          <w:ilvl w:val="0"/>
          <w:numId w:val="83"/>
        </w:numPr>
      </w:pPr>
      <w:r>
        <w:rPr>
          <w:rFonts w:hint="eastAsia"/>
        </w:rPr>
        <w:t>上报环境因素监测数据；</w:t>
      </w:r>
    </w:p>
    <w:p>
      <w:pPr>
        <w:pStyle w:val="179"/>
        <w:numPr>
          <w:ilvl w:val="0"/>
          <w:numId w:val="83"/>
        </w:numPr>
      </w:pPr>
      <w:r>
        <w:rPr>
          <w:rFonts w:hint="eastAsia"/>
        </w:rPr>
        <w:t>上传排污许可证规定和有关规范规定需要依法开展的监测工作的依据；</w:t>
      </w:r>
    </w:p>
    <w:p>
      <w:pPr>
        <w:pStyle w:val="179"/>
        <w:numPr>
          <w:ilvl w:val="0"/>
          <w:numId w:val="83"/>
        </w:numPr>
      </w:pPr>
      <w:r>
        <w:rPr>
          <w:rFonts w:hint="eastAsia"/>
        </w:rPr>
        <w:t>环境因素分布图；</w:t>
      </w:r>
    </w:p>
    <w:p>
      <w:pPr>
        <w:pStyle w:val="179"/>
        <w:numPr>
          <w:ilvl w:val="0"/>
          <w:numId w:val="83"/>
        </w:numPr>
      </w:pPr>
      <w:r>
        <w:rPr>
          <w:rFonts w:hint="eastAsia"/>
        </w:rPr>
        <w:t>生成环境因素清单，可导出。</w:t>
      </w:r>
    </w:p>
    <w:p>
      <w:pPr>
        <w:pStyle w:val="185"/>
        <w:numPr>
          <w:ilvl w:val="0"/>
          <w:numId w:val="84"/>
        </w:numPr>
      </w:pPr>
      <w:r>
        <w:rPr>
          <w:rFonts w:hint="eastAsia"/>
        </w:rPr>
        <w:t>上报环境因素监测数据主要包括：检查日期、检查内容、监控标准、检查数据、检查结果、问题描述、治理要求、计划完成时间、责任部门、责任人、备注、附件。</w:t>
      </w:r>
    </w:p>
    <w:p>
      <w:pPr>
        <w:pStyle w:val="185"/>
        <w:numPr>
          <w:ilvl w:val="0"/>
          <w:numId w:val="84"/>
        </w:numPr>
      </w:pPr>
      <w:r>
        <w:rPr>
          <w:rFonts w:hint="eastAsia"/>
        </w:rPr>
        <w:t>环境因素宜绑定硬件设备，环境因素分布图可通过物联监控运营中心查看。</w:t>
      </w:r>
    </w:p>
    <w:p>
      <w:pPr>
        <w:pStyle w:val="70"/>
        <w:spacing w:before="120" w:after="120"/>
      </w:pPr>
      <w:r>
        <w:rPr>
          <w:rFonts w:hint="eastAsia"/>
        </w:rPr>
        <w:t>环境因素预警</w:t>
      </w:r>
    </w:p>
    <w:p>
      <w:pPr>
        <w:pStyle w:val="61"/>
        <w:ind w:firstLine="420"/>
      </w:pPr>
      <w:r>
        <w:rPr>
          <w:rFonts w:hint="eastAsia"/>
        </w:rPr>
        <w:t>环境因素预警宜对重大环境因素和日常监测的异常检查结果实施监控、整改和验收，宜包括以下内容：</w:t>
      </w:r>
    </w:p>
    <w:p>
      <w:pPr>
        <w:pStyle w:val="179"/>
        <w:numPr>
          <w:ilvl w:val="0"/>
          <w:numId w:val="85"/>
        </w:numPr>
      </w:pPr>
      <w:r>
        <w:rPr>
          <w:rFonts w:hint="eastAsia"/>
        </w:rPr>
        <w:t>重大环境因素和日常检测异常环境因素实时监控；</w:t>
      </w:r>
    </w:p>
    <w:p>
      <w:pPr>
        <w:pStyle w:val="179"/>
        <w:numPr>
          <w:ilvl w:val="0"/>
          <w:numId w:val="85"/>
        </w:numPr>
      </w:pPr>
      <w:r>
        <w:rPr>
          <w:rFonts w:hint="eastAsia"/>
        </w:rPr>
        <w:t>环境因素治理；</w:t>
      </w:r>
    </w:p>
    <w:p>
      <w:pPr>
        <w:pStyle w:val="179"/>
        <w:numPr>
          <w:ilvl w:val="0"/>
          <w:numId w:val="85"/>
        </w:numPr>
      </w:pPr>
      <w:r>
        <w:rPr>
          <w:rFonts w:hint="eastAsia"/>
        </w:rPr>
        <w:t>环境因素验收。</w:t>
      </w:r>
    </w:p>
    <w:p>
      <w:pPr>
        <w:pStyle w:val="70"/>
        <w:spacing w:before="120" w:after="120"/>
      </w:pPr>
      <w:r>
        <w:rPr>
          <w:rFonts w:hint="eastAsia"/>
        </w:rPr>
        <w:t>环境因素统计分析</w:t>
      </w:r>
    </w:p>
    <w:p>
      <w:pPr>
        <w:pStyle w:val="61"/>
        <w:ind w:firstLine="420"/>
      </w:pPr>
      <w:r>
        <w:rPr>
          <w:rFonts w:hint="eastAsia"/>
        </w:rPr>
        <w:t>环境因素统计分析宜按环境因素、重大环境因素、环境因素检查次数、环境因素因素达标率、环境因素趋势等确定。</w:t>
      </w:r>
    </w:p>
    <w:p>
      <w:pPr>
        <w:pStyle w:val="70"/>
        <w:spacing w:before="120" w:after="120"/>
      </w:pPr>
      <w:r>
        <w:rPr>
          <w:rFonts w:hint="eastAsia"/>
        </w:rPr>
        <w:t>三废管理</w:t>
      </w:r>
    </w:p>
    <w:p>
      <w:pPr>
        <w:pStyle w:val="61"/>
        <w:ind w:firstLine="420"/>
      </w:pPr>
      <w:r>
        <w:rPr>
          <w:rFonts w:hint="eastAsia"/>
        </w:rPr>
        <w:t>三废管理宜对固废、废水、废气排放记录，宜包括以下内容：</w:t>
      </w:r>
    </w:p>
    <w:p>
      <w:pPr>
        <w:pStyle w:val="179"/>
        <w:numPr>
          <w:ilvl w:val="0"/>
          <w:numId w:val="86"/>
        </w:numPr>
      </w:pPr>
      <w:r>
        <w:rPr>
          <w:rFonts w:hint="eastAsia"/>
        </w:rPr>
        <w:t>新增/删除三废管理信息；</w:t>
      </w:r>
    </w:p>
    <w:p>
      <w:pPr>
        <w:pStyle w:val="179"/>
        <w:numPr>
          <w:ilvl w:val="0"/>
          <w:numId w:val="86"/>
        </w:numPr>
      </w:pPr>
      <w:r>
        <w:rPr>
          <w:rFonts w:hint="eastAsia"/>
        </w:rPr>
        <w:t>编辑三废管理信息；</w:t>
      </w:r>
    </w:p>
    <w:p>
      <w:pPr>
        <w:pStyle w:val="179"/>
        <w:numPr>
          <w:ilvl w:val="0"/>
          <w:numId w:val="86"/>
        </w:numPr>
      </w:pPr>
      <w:r>
        <w:rPr>
          <w:rFonts w:hint="eastAsia"/>
        </w:rPr>
        <w:t>三废台账；</w:t>
      </w:r>
    </w:p>
    <w:p>
      <w:pPr>
        <w:pStyle w:val="185"/>
        <w:numPr>
          <w:ilvl w:val="0"/>
          <w:numId w:val="87"/>
        </w:numPr>
      </w:pPr>
      <w:r>
        <w:rPr>
          <w:rFonts w:hint="eastAsia"/>
        </w:rPr>
        <w:t>三废管理主要包括：固废、废水、废气等类型，废物名称、三废来源、处理方法、排出量单位、正常排出量、最大排出量、排放特性、排放口高度、排放口直径、排放要求、排放方式及去向、责任部门、登记日期、备注、附件。</w:t>
      </w:r>
    </w:p>
    <w:p>
      <w:pPr>
        <w:pStyle w:val="185"/>
        <w:numPr>
          <w:ilvl w:val="0"/>
          <w:numId w:val="87"/>
        </w:numPr>
      </w:pPr>
      <w:r>
        <w:rPr>
          <w:rFonts w:hint="eastAsia"/>
        </w:rPr>
        <w:t>铸造企业废气排放主要有：颗粒物、氮氧化物、硫氧化物、一氧化碳、氯化物和氟化物、挥发性有机化合物及其他危险的空气污染物等；固体废物主要有：废砂、除尘设备中的灰尘、炉渣、灰浆处理等；废水主要有：工业废水等。</w:t>
      </w:r>
    </w:p>
    <w:p>
      <w:pPr>
        <w:pStyle w:val="70"/>
        <w:spacing w:before="120" w:after="120"/>
      </w:pPr>
      <w:r>
        <w:rPr>
          <w:rFonts w:hint="eastAsia"/>
        </w:rPr>
        <w:t>噪声管理</w:t>
      </w:r>
    </w:p>
    <w:p>
      <w:pPr>
        <w:pStyle w:val="61"/>
        <w:ind w:firstLine="420"/>
      </w:pPr>
      <w:r>
        <w:rPr>
          <w:rFonts w:hint="eastAsia"/>
        </w:rPr>
        <w:t>铸造过程中的噪声源包括投料处理、熔化炉装料和电弧炉熔炼、燃油燃烧器、振动清理、造型/制芯射砂以及运输和通风系统等。噪声管理宜对影响环境的噪音记录，宜包括以下内容：</w:t>
      </w:r>
    </w:p>
    <w:p>
      <w:pPr>
        <w:pStyle w:val="179"/>
        <w:numPr>
          <w:ilvl w:val="0"/>
          <w:numId w:val="88"/>
        </w:numPr>
      </w:pPr>
      <w:r>
        <w:rPr>
          <w:rFonts w:hint="eastAsia"/>
        </w:rPr>
        <w:t>新增/删除噪声信息；</w:t>
      </w:r>
    </w:p>
    <w:p>
      <w:pPr>
        <w:pStyle w:val="179"/>
        <w:numPr>
          <w:ilvl w:val="0"/>
          <w:numId w:val="88"/>
        </w:numPr>
      </w:pPr>
      <w:r>
        <w:rPr>
          <w:rFonts w:hint="eastAsia"/>
        </w:rPr>
        <w:t>编辑噪声信息；</w:t>
      </w:r>
    </w:p>
    <w:p>
      <w:pPr>
        <w:pStyle w:val="179"/>
        <w:numPr>
          <w:ilvl w:val="0"/>
          <w:numId w:val="88"/>
        </w:numPr>
      </w:pPr>
      <w:r>
        <w:rPr>
          <w:rFonts w:hint="eastAsia"/>
        </w:rPr>
        <w:t>上报噪声监测数据。</w:t>
      </w:r>
    </w:p>
    <w:p>
      <w:pPr>
        <w:pStyle w:val="247"/>
      </w:pPr>
      <w:r>
        <w:rPr>
          <w:rFonts w:hint="eastAsia"/>
        </w:rPr>
        <w:t>噪声</w:t>
      </w:r>
      <w:r>
        <w:rPr>
          <w:rFonts w:hint="eastAsia"/>
          <w:color w:val="000000" w:themeColor="text1"/>
          <w14:textFill>
            <w14:solidFill>
              <w14:schemeClr w14:val="tx1"/>
            </w14:solidFill>
          </w14:textFill>
        </w:rPr>
        <w:t>主要包</w:t>
      </w:r>
      <w:r>
        <w:rPr>
          <w:rFonts w:hint="eastAsia"/>
        </w:rPr>
        <w:t>括：位置、阈值、噪音影响、控制措施。</w:t>
      </w:r>
    </w:p>
    <w:p>
      <w:pPr>
        <w:pStyle w:val="70"/>
        <w:spacing w:before="120" w:after="120"/>
      </w:pPr>
      <w:r>
        <w:rPr>
          <w:rFonts w:hint="eastAsia"/>
        </w:rPr>
        <w:t>资源能耗管理</w:t>
      </w:r>
    </w:p>
    <w:p>
      <w:pPr>
        <w:pStyle w:val="61"/>
        <w:ind w:firstLine="420"/>
      </w:pPr>
      <w:r>
        <w:rPr>
          <w:rFonts w:hint="eastAsia"/>
        </w:rPr>
        <w:t>资源能源管理宜包括以下内容：</w:t>
      </w:r>
    </w:p>
    <w:p>
      <w:pPr>
        <w:pStyle w:val="179"/>
        <w:numPr>
          <w:ilvl w:val="0"/>
          <w:numId w:val="89"/>
        </w:numPr>
      </w:pPr>
      <w:r>
        <w:rPr>
          <w:rFonts w:hint="eastAsia"/>
        </w:rPr>
        <w:t>资源能源参数维护；</w:t>
      </w:r>
    </w:p>
    <w:p>
      <w:pPr>
        <w:pStyle w:val="179"/>
        <w:numPr>
          <w:ilvl w:val="0"/>
          <w:numId w:val="89"/>
        </w:numPr>
      </w:pPr>
      <w:r>
        <w:rPr>
          <w:rFonts w:hint="eastAsia"/>
        </w:rPr>
        <w:t>资源能源监测汇报；</w:t>
      </w:r>
    </w:p>
    <w:p>
      <w:pPr>
        <w:pStyle w:val="179"/>
        <w:numPr>
          <w:ilvl w:val="0"/>
          <w:numId w:val="89"/>
        </w:numPr>
      </w:pPr>
      <w:r>
        <w:rPr>
          <w:rFonts w:hint="eastAsia"/>
        </w:rPr>
        <w:t>资源能源统计。</w:t>
      </w:r>
    </w:p>
    <w:p>
      <w:pPr>
        <w:pStyle w:val="110"/>
        <w:spacing w:before="120" w:after="120"/>
      </w:pPr>
      <w:bookmarkStart w:id="354" w:name="_Toc27482"/>
      <w:bookmarkStart w:id="355" w:name="_Toc32042"/>
      <w:bookmarkStart w:id="356" w:name="_Toc803"/>
      <w:bookmarkStart w:id="357" w:name="_Toc7216"/>
      <w:bookmarkStart w:id="358" w:name="_Toc7591"/>
      <w:bookmarkStart w:id="359" w:name="_Toc6158"/>
      <w:bookmarkStart w:id="360" w:name="_Toc5135"/>
      <w:bookmarkStart w:id="361" w:name="_Toc17466"/>
      <w:bookmarkStart w:id="362" w:name="_Toc99548258"/>
      <w:bookmarkStart w:id="363" w:name="_Toc30153"/>
      <w:bookmarkStart w:id="364" w:name="_Toc5757"/>
      <w:bookmarkStart w:id="365" w:name="_Toc99547390"/>
      <w:bookmarkStart w:id="366" w:name="_Toc99548483"/>
      <w:bookmarkStart w:id="367" w:name="_Toc99547244"/>
      <w:r>
        <w:rPr>
          <w:rFonts w:hint="eastAsia"/>
        </w:rPr>
        <w:t>职业健康</w:t>
      </w:r>
      <w:bookmarkEnd w:id="354"/>
      <w:bookmarkEnd w:id="355"/>
      <w:bookmarkEnd w:id="356"/>
      <w:bookmarkEnd w:id="357"/>
      <w:bookmarkEnd w:id="358"/>
      <w:bookmarkEnd w:id="359"/>
      <w:bookmarkEnd w:id="360"/>
      <w:bookmarkEnd w:id="361"/>
      <w:r>
        <w:rPr>
          <w:rFonts w:hint="eastAsia"/>
        </w:rPr>
        <w:t>管理</w:t>
      </w:r>
      <w:bookmarkEnd w:id="362"/>
      <w:bookmarkEnd w:id="363"/>
      <w:bookmarkEnd w:id="364"/>
      <w:bookmarkEnd w:id="365"/>
      <w:bookmarkEnd w:id="366"/>
      <w:bookmarkEnd w:id="367"/>
    </w:p>
    <w:p>
      <w:pPr>
        <w:pStyle w:val="70"/>
        <w:spacing w:before="120" w:after="120"/>
      </w:pPr>
      <w:bookmarkStart w:id="368" w:name="_Toc20774"/>
      <w:bookmarkStart w:id="369" w:name="_Toc19515"/>
      <w:bookmarkStart w:id="370" w:name="_Toc16890"/>
      <w:bookmarkStart w:id="371" w:name="_Toc8890"/>
      <w:bookmarkStart w:id="372" w:name="_Toc30924"/>
      <w:bookmarkStart w:id="373" w:name="_Toc16862"/>
      <w:bookmarkStart w:id="374" w:name="_Toc24408"/>
      <w:bookmarkStart w:id="375" w:name="_Toc29918"/>
      <w:r>
        <w:rPr>
          <w:rFonts w:hint="eastAsia"/>
        </w:rPr>
        <w:t>概述</w:t>
      </w:r>
      <w:bookmarkEnd w:id="368"/>
      <w:bookmarkEnd w:id="369"/>
      <w:bookmarkEnd w:id="370"/>
      <w:bookmarkEnd w:id="371"/>
      <w:bookmarkEnd w:id="372"/>
      <w:bookmarkEnd w:id="373"/>
      <w:bookmarkEnd w:id="374"/>
      <w:bookmarkEnd w:id="375"/>
    </w:p>
    <w:p>
      <w:pPr>
        <w:pStyle w:val="61"/>
        <w:ind w:firstLine="420"/>
      </w:pPr>
      <w:r>
        <w:rPr>
          <w:rFonts w:hint="eastAsia"/>
        </w:rPr>
        <w:t>EHS系统宜具备职业健康管理模块，宜包括职业健康、体检管理和劳保管理。应对作业场所和岗位进行危害因素定期检测和日常监测，设置危害告知警示牌，职业健康管理功能架构见图12。</w:t>
      </w:r>
    </w:p>
    <w:p>
      <w:pPr>
        <w:pStyle w:val="236"/>
        <w:jc w:val="center"/>
      </w:pPr>
      <w:r>
        <w:drawing>
          <wp:inline distT="0" distB="0" distL="114300" distR="114300">
            <wp:extent cx="4289425" cy="4443095"/>
            <wp:effectExtent l="0" t="0" r="15875" b="14605"/>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27"/>
                    <a:stretch>
                      <a:fillRect/>
                    </a:stretch>
                  </pic:blipFill>
                  <pic:spPr>
                    <a:xfrm>
                      <a:off x="0" y="0"/>
                      <a:ext cx="4289425" cy="4443095"/>
                    </a:xfrm>
                    <a:prstGeom prst="rect">
                      <a:avLst/>
                    </a:prstGeom>
                    <a:noFill/>
                    <a:ln>
                      <a:noFill/>
                    </a:ln>
                  </pic:spPr>
                </pic:pic>
              </a:graphicData>
            </a:graphic>
          </wp:inline>
        </w:drawing>
      </w:r>
    </w:p>
    <w:p>
      <w:pPr>
        <w:pStyle w:val="119"/>
        <w:spacing w:before="120" w:after="120"/>
      </w:pPr>
      <w:bookmarkStart w:id="376" w:name="_Toc99548407"/>
      <w:r>
        <w:rPr>
          <w:rFonts w:hint="eastAsia"/>
        </w:rPr>
        <w:t>职业健康管理功能架构图</w:t>
      </w:r>
      <w:bookmarkEnd w:id="376"/>
      <w:r>
        <w:rPr>
          <w:rFonts w:hint="eastAsia"/>
        </w:rPr>
        <w:t xml:space="preserve"> </w:t>
      </w:r>
    </w:p>
    <w:p>
      <w:pPr>
        <w:pStyle w:val="70"/>
        <w:spacing w:before="120" w:after="120"/>
      </w:pPr>
      <w:r>
        <w:rPr>
          <w:rFonts w:hint="eastAsia"/>
        </w:rPr>
        <w:t>职业健康</w:t>
      </w:r>
    </w:p>
    <w:p>
      <w:pPr>
        <w:pStyle w:val="99"/>
        <w:spacing w:before="120" w:after="120"/>
      </w:pPr>
      <w:r>
        <w:rPr>
          <w:rFonts w:hint="eastAsia"/>
        </w:rPr>
        <w:t>职业危害因素</w:t>
      </w:r>
    </w:p>
    <w:p>
      <w:pPr>
        <w:pStyle w:val="61"/>
        <w:ind w:firstLine="420"/>
      </w:pPr>
      <w:r>
        <w:rPr>
          <w:rFonts w:hint="eastAsia"/>
        </w:rPr>
        <w:t>职业危害因素宜包括以下内容：</w:t>
      </w:r>
    </w:p>
    <w:p>
      <w:pPr>
        <w:pStyle w:val="179"/>
        <w:numPr>
          <w:ilvl w:val="0"/>
          <w:numId w:val="90"/>
        </w:numPr>
      </w:pPr>
      <w:r>
        <w:rPr>
          <w:rFonts w:hint="eastAsia"/>
        </w:rPr>
        <w:t>添加/删除职业危害信息；</w:t>
      </w:r>
    </w:p>
    <w:p>
      <w:pPr>
        <w:pStyle w:val="179"/>
        <w:numPr>
          <w:ilvl w:val="0"/>
          <w:numId w:val="90"/>
        </w:numPr>
      </w:pPr>
      <w:r>
        <w:rPr>
          <w:rFonts w:hint="eastAsia"/>
        </w:rPr>
        <w:t>编辑职业危害信息。</w:t>
      </w:r>
      <w:r>
        <w:rPr>
          <w:rFonts w:hint="eastAsia"/>
        </w:rPr>
        <w:tab/>
      </w:r>
    </w:p>
    <w:p>
      <w:pPr>
        <w:pStyle w:val="247"/>
        <w:rPr>
          <w:color w:val="000000" w:themeColor="text1"/>
          <w14:textFill>
            <w14:solidFill>
              <w14:schemeClr w14:val="tx1"/>
            </w14:solidFill>
          </w14:textFill>
        </w:rPr>
      </w:pPr>
      <w:r>
        <w:rPr>
          <w:rFonts w:hint="eastAsia"/>
          <w:color w:val="000000" w:themeColor="text1"/>
          <w14:textFill>
            <w14:solidFill>
              <w14:schemeClr w14:val="tx1"/>
            </w14:solidFill>
          </w14:textFill>
        </w:rPr>
        <w:t>职业危害因素主要包括危害因素名称、阈值、绑定设备、所属区域、危害类型、工作地点、涉及岗位、涉及人员、可能后果、危害症状、防护措施、防护装备。</w:t>
      </w:r>
    </w:p>
    <w:p>
      <w:pPr>
        <w:pStyle w:val="99"/>
        <w:spacing w:before="120" w:after="120"/>
      </w:pPr>
      <w:r>
        <w:rPr>
          <w:rFonts w:hint="eastAsia"/>
        </w:rPr>
        <w:t>职业危害监测</w:t>
      </w:r>
    </w:p>
    <w:p>
      <w:pPr>
        <w:pStyle w:val="61"/>
        <w:ind w:firstLine="420"/>
      </w:pPr>
      <w:r>
        <w:rPr>
          <w:rFonts w:hint="eastAsia"/>
        </w:rPr>
        <w:t>职业危害监测主要是对各危害因素定期检测和日常监测，宜包括以下内容：</w:t>
      </w:r>
    </w:p>
    <w:p>
      <w:pPr>
        <w:pStyle w:val="179"/>
        <w:numPr>
          <w:ilvl w:val="0"/>
          <w:numId w:val="91"/>
        </w:numPr>
      </w:pPr>
      <w:r>
        <w:rPr>
          <w:rFonts w:hint="eastAsia"/>
        </w:rPr>
        <w:t>定期聘请第三方检测机构对危害作业区进行检测，并上传检测报告及不合格数据；</w:t>
      </w:r>
    </w:p>
    <w:p>
      <w:pPr>
        <w:pStyle w:val="179"/>
        <w:numPr>
          <w:ilvl w:val="0"/>
          <w:numId w:val="91"/>
        </w:numPr>
      </w:pPr>
      <w:r>
        <w:rPr>
          <w:rFonts w:hint="eastAsia"/>
        </w:rPr>
        <w:t>上报职业危害因素监测数据；</w:t>
      </w:r>
    </w:p>
    <w:p>
      <w:pPr>
        <w:pStyle w:val="179"/>
        <w:numPr>
          <w:ilvl w:val="0"/>
          <w:numId w:val="91"/>
        </w:numPr>
      </w:pPr>
      <w:r>
        <w:rPr>
          <w:rFonts w:hint="eastAsia"/>
        </w:rPr>
        <w:t>职业危害因素分布图；</w:t>
      </w:r>
    </w:p>
    <w:p>
      <w:pPr>
        <w:pStyle w:val="179"/>
        <w:numPr>
          <w:ilvl w:val="0"/>
          <w:numId w:val="91"/>
        </w:numPr>
      </w:pPr>
      <w:r>
        <w:rPr>
          <w:rFonts w:hint="eastAsia"/>
        </w:rPr>
        <w:t>异常危害因素设置告知与警示，可下载和打印；</w:t>
      </w:r>
    </w:p>
    <w:p>
      <w:pPr>
        <w:pStyle w:val="179"/>
        <w:numPr>
          <w:ilvl w:val="0"/>
          <w:numId w:val="91"/>
        </w:numPr>
      </w:pPr>
      <w:r>
        <w:rPr>
          <w:rFonts w:hint="eastAsia"/>
        </w:rPr>
        <w:t>生成职业危害因素台账，可导出。</w:t>
      </w:r>
    </w:p>
    <w:p>
      <w:pPr>
        <w:pStyle w:val="185"/>
        <w:numPr>
          <w:ilvl w:val="0"/>
          <w:numId w:val="92"/>
        </w:numPr>
      </w:pPr>
      <w:r>
        <w:rPr>
          <w:rFonts w:hint="eastAsia"/>
        </w:rPr>
        <w:t>检测主要包括：检测周期、检测内容、下次检测时间、监控标准、监控方式、检测数据上限、检测报告。</w:t>
      </w:r>
    </w:p>
    <w:p>
      <w:pPr>
        <w:pStyle w:val="185"/>
        <w:numPr>
          <w:ilvl w:val="0"/>
          <w:numId w:val="92"/>
        </w:numPr>
      </w:pPr>
      <w:r>
        <w:rPr>
          <w:rFonts w:hint="eastAsia"/>
        </w:rPr>
        <w:t>上报职业危害因素监测数据主要包括：危害因素基本信息、检查数据、检查日期、检查结果（正常/异常）。</w:t>
      </w:r>
    </w:p>
    <w:p>
      <w:pPr>
        <w:pStyle w:val="185"/>
        <w:numPr>
          <w:ilvl w:val="0"/>
          <w:numId w:val="92"/>
        </w:numPr>
      </w:pPr>
      <w:r>
        <w:rPr>
          <w:rFonts w:hint="eastAsia"/>
        </w:rPr>
        <w:t>职业健康因素宜绑定硬件设备，危害因素分布图可通过物联监控运营中心查看。</w:t>
      </w:r>
    </w:p>
    <w:p>
      <w:pPr>
        <w:pStyle w:val="99"/>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危害</w:t>
      </w:r>
      <w:r>
        <w:rPr>
          <w:rFonts w:hint="eastAsia"/>
        </w:rPr>
        <w:t>预警</w:t>
      </w:r>
    </w:p>
    <w:p>
      <w:pPr>
        <w:pStyle w:val="61"/>
        <w:ind w:firstLine="420"/>
      </w:pPr>
      <w:r>
        <w:rPr>
          <w:rFonts w:hint="eastAsia"/>
        </w:rPr>
        <w:t>危害预警宜对检测和日常监测的异常检查结果实施监控、整改和验收，宜包括以下内容：</w:t>
      </w:r>
    </w:p>
    <w:p>
      <w:pPr>
        <w:pStyle w:val="179"/>
        <w:numPr>
          <w:ilvl w:val="0"/>
          <w:numId w:val="93"/>
        </w:numPr>
      </w:pPr>
      <w:r>
        <w:rPr>
          <w:rFonts w:hint="eastAsia"/>
        </w:rPr>
        <w:t>异常危害因素实时监控；</w:t>
      </w:r>
    </w:p>
    <w:p>
      <w:pPr>
        <w:pStyle w:val="179"/>
        <w:numPr>
          <w:ilvl w:val="0"/>
          <w:numId w:val="93"/>
        </w:numPr>
      </w:pPr>
      <w:r>
        <w:rPr>
          <w:rFonts w:hint="eastAsia"/>
        </w:rPr>
        <w:t>职业危害因素整改；</w:t>
      </w:r>
    </w:p>
    <w:p>
      <w:pPr>
        <w:pStyle w:val="179"/>
        <w:numPr>
          <w:ilvl w:val="0"/>
          <w:numId w:val="93"/>
        </w:numPr>
      </w:pPr>
      <w:r>
        <w:rPr>
          <w:rFonts w:hint="eastAsia"/>
        </w:rPr>
        <w:t>职业危害因素验收。</w:t>
      </w:r>
    </w:p>
    <w:p>
      <w:pPr>
        <w:pStyle w:val="185"/>
        <w:numPr>
          <w:ilvl w:val="0"/>
          <w:numId w:val="94"/>
        </w:numPr>
      </w:pPr>
      <w:r>
        <w:rPr>
          <w:rFonts w:hint="eastAsia"/>
        </w:rPr>
        <w:t>危害因素整改主要包括：整改日期、整改要求、整改结果、附件信息。</w:t>
      </w:r>
    </w:p>
    <w:p>
      <w:pPr>
        <w:pStyle w:val="185"/>
        <w:numPr>
          <w:ilvl w:val="0"/>
          <w:numId w:val="94"/>
        </w:numPr>
      </w:pPr>
      <w:r>
        <w:rPr>
          <w:rFonts w:hint="eastAsia"/>
        </w:rPr>
        <w:t>危害因素验收主要包括：验收日期、验收结果、附件信息。</w:t>
      </w:r>
    </w:p>
    <w:p>
      <w:pPr>
        <w:pStyle w:val="99"/>
        <w:spacing w:before="120" w:after="120"/>
      </w:pPr>
      <w:r>
        <w:rPr>
          <w:rFonts w:hint="eastAsia"/>
        </w:rPr>
        <w:t>职业健康统计分析</w:t>
      </w:r>
    </w:p>
    <w:p>
      <w:pPr>
        <w:pStyle w:val="61"/>
        <w:ind w:firstLine="420"/>
      </w:pPr>
      <w:r>
        <w:rPr>
          <w:rFonts w:hint="eastAsia"/>
        </w:rPr>
        <w:t>职业健康统计分析宜按职业危害因素、危害类型、职业危害因素检查次数、职业危害因素达标率、组织、职业危害因素趋势、危害因素不达标明细等确定。</w:t>
      </w:r>
    </w:p>
    <w:p>
      <w:pPr>
        <w:pStyle w:val="70"/>
        <w:spacing w:before="120" w:after="120"/>
      </w:pPr>
      <w:bookmarkStart w:id="377" w:name="_Toc11378"/>
      <w:bookmarkStart w:id="378" w:name="_Toc8007"/>
      <w:bookmarkStart w:id="379" w:name="_Toc1361"/>
      <w:bookmarkStart w:id="380" w:name="_Toc24004"/>
      <w:bookmarkStart w:id="381" w:name="_Toc11004"/>
      <w:bookmarkStart w:id="382" w:name="_Toc15276"/>
      <w:bookmarkStart w:id="383" w:name="_Toc28075"/>
      <w:bookmarkStart w:id="384" w:name="_Toc28819"/>
      <w:r>
        <w:t>体检</w:t>
      </w:r>
      <w:r>
        <w:rPr>
          <w:rFonts w:hint="eastAsia"/>
        </w:rPr>
        <w:t>管理</w:t>
      </w:r>
      <w:bookmarkEnd w:id="377"/>
      <w:bookmarkEnd w:id="378"/>
      <w:bookmarkEnd w:id="379"/>
      <w:bookmarkEnd w:id="380"/>
      <w:bookmarkEnd w:id="381"/>
      <w:bookmarkEnd w:id="382"/>
      <w:bookmarkEnd w:id="383"/>
      <w:bookmarkEnd w:id="384"/>
    </w:p>
    <w:p>
      <w:pPr>
        <w:pStyle w:val="99"/>
        <w:spacing w:before="120" w:after="120"/>
      </w:pPr>
      <w:r>
        <w:rPr>
          <w:rFonts w:hint="eastAsia"/>
        </w:rPr>
        <w:t>概述</w:t>
      </w:r>
    </w:p>
    <w:p>
      <w:pPr>
        <w:pStyle w:val="61"/>
        <w:ind w:firstLine="420"/>
      </w:pPr>
      <w:r>
        <w:rPr>
          <w:rFonts w:hint="eastAsia"/>
        </w:rPr>
        <w:t>体检管理宜对职业危害接触史的员工在上岗前、在岗期间、离岗时、事故、入职和离职时进行健康体检管理，建立职业健康管理档案，体检管理功能架构见图13。宜包括以下内容：健康体检管理、员工体检记录、员工调离岗记录、员工职业病诊治记录和员工健康档案。</w:t>
      </w:r>
    </w:p>
    <w:p>
      <w:pPr>
        <w:pStyle w:val="247"/>
      </w:pPr>
      <w:r>
        <w:rPr>
          <w:rFonts w:hint="eastAsia"/>
        </w:rPr>
        <w:t>职业危害因素接触诸如：接触粉尘、噪声、苯系物、高温、辐射、振动。</w:t>
      </w:r>
    </w:p>
    <w:p>
      <w:pPr>
        <w:pStyle w:val="236"/>
        <w:ind w:firstLineChars="0"/>
        <w:rPr>
          <w:sz w:val="18"/>
        </w:rPr>
      </w:pPr>
    </w:p>
    <w:p>
      <w:pPr>
        <w:pStyle w:val="236"/>
        <w:ind w:firstLineChars="0"/>
        <w:jc w:val="center"/>
      </w:pPr>
      <w:r>
        <w:drawing>
          <wp:inline distT="0" distB="0" distL="114300" distR="114300">
            <wp:extent cx="3418205" cy="1839595"/>
            <wp:effectExtent l="0" t="0" r="10795" b="8255"/>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28"/>
                    <a:stretch>
                      <a:fillRect/>
                    </a:stretch>
                  </pic:blipFill>
                  <pic:spPr>
                    <a:xfrm>
                      <a:off x="0" y="0"/>
                      <a:ext cx="3418205" cy="1839595"/>
                    </a:xfrm>
                    <a:prstGeom prst="rect">
                      <a:avLst/>
                    </a:prstGeom>
                    <a:noFill/>
                    <a:ln>
                      <a:noFill/>
                    </a:ln>
                  </pic:spPr>
                </pic:pic>
              </a:graphicData>
            </a:graphic>
          </wp:inline>
        </w:drawing>
      </w:r>
    </w:p>
    <w:p>
      <w:pPr>
        <w:pStyle w:val="119"/>
        <w:spacing w:before="120" w:after="120"/>
      </w:pPr>
      <w:bookmarkStart w:id="385" w:name="_Toc99548408"/>
      <w:r>
        <w:rPr>
          <w:rFonts w:hint="eastAsia"/>
        </w:rPr>
        <w:t>体检管理功能架构图</w:t>
      </w:r>
      <w:bookmarkEnd w:id="385"/>
    </w:p>
    <w:p>
      <w:pPr>
        <w:pStyle w:val="99"/>
        <w:spacing w:before="120" w:after="120"/>
      </w:pPr>
      <w:r>
        <w:rPr>
          <w:rFonts w:hint="eastAsia"/>
        </w:rPr>
        <w:t>健康体检管理</w:t>
      </w:r>
    </w:p>
    <w:p>
      <w:pPr>
        <w:pStyle w:val="61"/>
        <w:ind w:firstLine="420"/>
      </w:pPr>
      <w:r>
        <w:rPr>
          <w:rFonts w:hint="eastAsia"/>
        </w:rPr>
        <w:t>健康体检管理宜包括以下内容：</w:t>
      </w:r>
    </w:p>
    <w:p>
      <w:pPr>
        <w:pStyle w:val="179"/>
        <w:numPr>
          <w:ilvl w:val="0"/>
          <w:numId w:val="95"/>
        </w:numPr>
      </w:pPr>
      <w:r>
        <w:rPr>
          <w:rFonts w:hint="eastAsia"/>
        </w:rPr>
        <w:t>新增/删除职业健康体检管理基本信息；</w:t>
      </w:r>
    </w:p>
    <w:p>
      <w:pPr>
        <w:pStyle w:val="179"/>
        <w:numPr>
          <w:ilvl w:val="0"/>
          <w:numId w:val="95"/>
        </w:numPr>
      </w:pPr>
      <w:r>
        <w:rPr>
          <w:rFonts w:hint="eastAsia"/>
        </w:rPr>
        <w:t>添加体检员工；</w:t>
      </w:r>
    </w:p>
    <w:p>
      <w:pPr>
        <w:pStyle w:val="179"/>
        <w:numPr>
          <w:ilvl w:val="0"/>
          <w:numId w:val="95"/>
        </w:numPr>
      </w:pPr>
      <w:r>
        <w:rPr>
          <w:rFonts w:hint="eastAsia"/>
        </w:rPr>
        <w:t>编辑职业健康体检管理信息。</w:t>
      </w:r>
    </w:p>
    <w:p>
      <w:pPr>
        <w:pStyle w:val="185"/>
        <w:numPr>
          <w:ilvl w:val="0"/>
          <w:numId w:val="96"/>
        </w:numPr>
      </w:pPr>
      <w:r>
        <w:rPr>
          <w:rFonts w:hint="eastAsia"/>
        </w:rPr>
        <w:t>职业健康体检管理基本信息主要包括：公司名称，上岗前、在岗期间、离岗时、事故、入职和离职等体检类别，体检机构、体检时间。</w:t>
      </w:r>
    </w:p>
    <w:p>
      <w:pPr>
        <w:pStyle w:val="185"/>
        <w:numPr>
          <w:ilvl w:val="0"/>
          <w:numId w:val="96"/>
        </w:numPr>
      </w:pPr>
      <w:r>
        <w:rPr>
          <w:rFonts w:hint="eastAsia"/>
        </w:rPr>
        <w:t>添加员工主要包括：姓名、身份证号、岗位、危害因素等。</w:t>
      </w:r>
    </w:p>
    <w:p>
      <w:pPr>
        <w:pStyle w:val="99"/>
        <w:spacing w:before="120" w:after="120"/>
      </w:pPr>
      <w:r>
        <w:rPr>
          <w:rFonts w:hint="eastAsia"/>
        </w:rPr>
        <w:t>员工体检记录</w:t>
      </w:r>
    </w:p>
    <w:p>
      <w:pPr>
        <w:pStyle w:val="61"/>
        <w:ind w:firstLine="420"/>
      </w:pPr>
      <w:r>
        <w:rPr>
          <w:rFonts w:hint="eastAsia"/>
        </w:rPr>
        <w:t>员工体检记录宜包括以下内容：</w:t>
      </w:r>
    </w:p>
    <w:p>
      <w:pPr>
        <w:pStyle w:val="179"/>
        <w:numPr>
          <w:ilvl w:val="0"/>
          <w:numId w:val="97"/>
        </w:numPr>
      </w:pPr>
      <w:r>
        <w:rPr>
          <w:rFonts w:hint="eastAsia"/>
        </w:rPr>
        <w:t>新增/删除员工体检信息；</w:t>
      </w:r>
    </w:p>
    <w:p>
      <w:pPr>
        <w:pStyle w:val="179"/>
        <w:numPr>
          <w:ilvl w:val="0"/>
          <w:numId w:val="97"/>
        </w:numPr>
      </w:pPr>
      <w:r>
        <w:rPr>
          <w:rFonts w:hint="eastAsia"/>
        </w:rPr>
        <w:t>添加体检员工；</w:t>
      </w:r>
    </w:p>
    <w:p>
      <w:pPr>
        <w:pStyle w:val="179"/>
        <w:numPr>
          <w:ilvl w:val="0"/>
          <w:numId w:val="97"/>
        </w:numPr>
      </w:pPr>
      <w:r>
        <w:rPr>
          <w:rFonts w:hint="eastAsia"/>
        </w:rPr>
        <w:t>编辑职业健康体检管理信息。</w:t>
      </w:r>
    </w:p>
    <w:p>
      <w:pPr>
        <w:pStyle w:val="99"/>
        <w:spacing w:before="120" w:after="120"/>
      </w:pPr>
      <w:r>
        <w:rPr>
          <w:rFonts w:hint="eastAsia"/>
        </w:rPr>
        <w:t>员工调离岗记录</w:t>
      </w:r>
    </w:p>
    <w:p>
      <w:pPr>
        <w:pStyle w:val="61"/>
        <w:ind w:firstLine="420"/>
      </w:pPr>
      <w:r>
        <w:rPr>
          <w:rFonts w:hint="eastAsia"/>
        </w:rPr>
        <w:t>员工调离岗记录宜包括以下内容：</w:t>
      </w:r>
    </w:p>
    <w:p>
      <w:pPr>
        <w:pStyle w:val="179"/>
        <w:numPr>
          <w:ilvl w:val="0"/>
          <w:numId w:val="98"/>
        </w:numPr>
      </w:pPr>
      <w:r>
        <w:rPr>
          <w:rFonts w:hint="eastAsia"/>
        </w:rPr>
        <w:t>新增/删除员工调离岗信息；</w:t>
      </w:r>
    </w:p>
    <w:p>
      <w:pPr>
        <w:pStyle w:val="179"/>
        <w:numPr>
          <w:ilvl w:val="0"/>
          <w:numId w:val="98"/>
        </w:numPr>
      </w:pPr>
      <w:r>
        <w:rPr>
          <w:rFonts w:hint="eastAsia"/>
        </w:rPr>
        <w:t>编辑员工调离岗信息。</w:t>
      </w:r>
    </w:p>
    <w:p>
      <w:pPr>
        <w:pStyle w:val="247"/>
      </w:pPr>
      <w:r>
        <w:rPr>
          <w:rFonts w:hint="eastAsia"/>
        </w:rPr>
        <w:t>员工调离岗基本信息主要包括：姓名、工号、所属部门、调离前岗位、调离后岗位、调离时间、调离原因等。</w:t>
      </w:r>
    </w:p>
    <w:p>
      <w:pPr>
        <w:pStyle w:val="99"/>
        <w:spacing w:before="120" w:after="120"/>
      </w:pPr>
      <w:r>
        <w:rPr>
          <w:rFonts w:hint="eastAsia"/>
        </w:rPr>
        <w:t>员工职业病诊治记录</w:t>
      </w:r>
    </w:p>
    <w:p>
      <w:pPr>
        <w:pStyle w:val="61"/>
        <w:ind w:firstLine="420"/>
      </w:pPr>
      <w:r>
        <w:rPr>
          <w:rFonts w:hint="eastAsia"/>
        </w:rPr>
        <w:t>员工职业病诊治记录宜包括以下内容：</w:t>
      </w:r>
    </w:p>
    <w:p>
      <w:pPr>
        <w:pStyle w:val="179"/>
        <w:numPr>
          <w:ilvl w:val="0"/>
          <w:numId w:val="99"/>
        </w:numPr>
      </w:pPr>
      <w:r>
        <w:rPr>
          <w:rFonts w:hint="eastAsia"/>
        </w:rPr>
        <w:t>新增/删除员工职业病诊治信息；</w:t>
      </w:r>
    </w:p>
    <w:p>
      <w:pPr>
        <w:pStyle w:val="179"/>
        <w:numPr>
          <w:ilvl w:val="0"/>
          <w:numId w:val="99"/>
        </w:numPr>
      </w:pPr>
      <w:r>
        <w:rPr>
          <w:rFonts w:hint="eastAsia"/>
        </w:rPr>
        <w:t>编辑员工职业病诊治信息。</w:t>
      </w:r>
    </w:p>
    <w:p>
      <w:pPr>
        <w:pStyle w:val="247"/>
      </w:pPr>
      <w:r>
        <w:rPr>
          <w:rFonts w:hint="eastAsia"/>
        </w:rPr>
        <w:t>员工职业病诊治基本信息主要包括：姓名、工号、所属部门、职业病名称、危害因素、接触史工龄、确认时间、确认机构、诊治时间、诊治机构、诊治情况简述等。</w:t>
      </w:r>
    </w:p>
    <w:p>
      <w:pPr>
        <w:pStyle w:val="99"/>
        <w:spacing w:before="120" w:after="120"/>
      </w:pPr>
      <w:r>
        <w:rPr>
          <w:rFonts w:hint="eastAsia"/>
        </w:rPr>
        <w:t>员工健康档案</w:t>
      </w:r>
    </w:p>
    <w:p>
      <w:pPr>
        <w:pStyle w:val="61"/>
        <w:ind w:firstLine="420"/>
      </w:pPr>
      <w:r>
        <w:rPr>
          <w:rFonts w:hint="eastAsia"/>
        </w:rPr>
        <w:t>员工健康档案宜包括以下内容：</w:t>
      </w:r>
    </w:p>
    <w:p>
      <w:pPr>
        <w:pStyle w:val="179"/>
        <w:numPr>
          <w:ilvl w:val="0"/>
          <w:numId w:val="100"/>
        </w:numPr>
      </w:pPr>
      <w:r>
        <w:rPr>
          <w:rFonts w:hint="eastAsia"/>
        </w:rPr>
        <w:t>员工基本信息；</w:t>
      </w:r>
    </w:p>
    <w:p>
      <w:pPr>
        <w:pStyle w:val="179"/>
        <w:numPr>
          <w:ilvl w:val="0"/>
          <w:numId w:val="100"/>
        </w:numPr>
      </w:pPr>
      <w:r>
        <w:rPr>
          <w:rFonts w:hint="eastAsia"/>
        </w:rPr>
        <w:t>员工历史体检记录信息；</w:t>
      </w:r>
    </w:p>
    <w:p>
      <w:pPr>
        <w:pStyle w:val="179"/>
        <w:numPr>
          <w:ilvl w:val="0"/>
          <w:numId w:val="100"/>
        </w:numPr>
      </w:pPr>
      <w:r>
        <w:rPr>
          <w:rFonts w:hint="eastAsia"/>
        </w:rPr>
        <w:t>员工调离岗记录信息；</w:t>
      </w:r>
    </w:p>
    <w:p>
      <w:pPr>
        <w:pStyle w:val="179"/>
        <w:numPr>
          <w:ilvl w:val="0"/>
          <w:numId w:val="100"/>
        </w:numPr>
      </w:pPr>
      <w:r>
        <w:rPr>
          <w:rFonts w:hint="eastAsia"/>
        </w:rPr>
        <w:t>员工职业病诊治记录信息。</w:t>
      </w:r>
    </w:p>
    <w:p>
      <w:pPr>
        <w:pStyle w:val="70"/>
        <w:spacing w:before="120" w:after="120"/>
      </w:pPr>
      <w:r>
        <w:rPr>
          <w:rFonts w:hint="eastAsia"/>
        </w:rPr>
        <w:t>劳保管理</w:t>
      </w:r>
    </w:p>
    <w:p>
      <w:pPr>
        <w:pStyle w:val="99"/>
        <w:spacing w:before="120" w:after="120"/>
      </w:pPr>
      <w:r>
        <w:rPr>
          <w:rFonts w:hint="eastAsia"/>
        </w:rPr>
        <w:t>概述</w:t>
      </w:r>
    </w:p>
    <w:p>
      <w:pPr>
        <w:pStyle w:val="61"/>
        <w:ind w:firstLine="420"/>
      </w:pPr>
      <w:r>
        <w:rPr>
          <w:rFonts w:hint="eastAsia"/>
        </w:rPr>
        <w:t>劳保管理宜包括劳保用品入库、劳保用品管理、劳保防护标准、劳保用品领用申请、劳保用户领用和劳保用品统计，劳保管理功能架构见图14。</w:t>
      </w:r>
    </w:p>
    <w:p>
      <w:pPr>
        <w:pStyle w:val="236"/>
        <w:ind w:firstLine="0" w:firstLineChars="0"/>
        <w:jc w:val="center"/>
      </w:pPr>
      <w:r>
        <w:drawing>
          <wp:inline distT="0" distB="0" distL="114300" distR="114300">
            <wp:extent cx="3488055" cy="1877060"/>
            <wp:effectExtent l="0" t="0" r="17145" b="889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29"/>
                    <a:stretch>
                      <a:fillRect/>
                    </a:stretch>
                  </pic:blipFill>
                  <pic:spPr>
                    <a:xfrm>
                      <a:off x="0" y="0"/>
                      <a:ext cx="3488055" cy="1877060"/>
                    </a:xfrm>
                    <a:prstGeom prst="rect">
                      <a:avLst/>
                    </a:prstGeom>
                    <a:noFill/>
                    <a:ln>
                      <a:noFill/>
                    </a:ln>
                  </pic:spPr>
                </pic:pic>
              </a:graphicData>
            </a:graphic>
          </wp:inline>
        </w:drawing>
      </w:r>
    </w:p>
    <w:p>
      <w:pPr>
        <w:pStyle w:val="119"/>
        <w:spacing w:before="120" w:after="120"/>
      </w:pPr>
      <w:bookmarkStart w:id="386" w:name="_Toc99548409"/>
      <w:r>
        <w:rPr>
          <w:rFonts w:hint="eastAsia"/>
        </w:rPr>
        <w:t>劳保管理功能架构图</w:t>
      </w:r>
      <w:bookmarkEnd w:id="386"/>
    </w:p>
    <w:p>
      <w:pPr>
        <w:pStyle w:val="99"/>
        <w:spacing w:before="120" w:after="120"/>
        <w:rPr>
          <w:rFonts w:hAnsi="宋体" w:cs="宋体"/>
          <w:szCs w:val="22"/>
        </w:rPr>
      </w:pPr>
      <w:r>
        <w:rPr>
          <w:rFonts w:hint="eastAsia" w:hAnsi="宋体" w:cs="宋体"/>
          <w:szCs w:val="22"/>
        </w:rPr>
        <w:t>劳保用品入库</w:t>
      </w:r>
    </w:p>
    <w:p>
      <w:pPr>
        <w:pStyle w:val="61"/>
        <w:ind w:firstLine="420"/>
      </w:pPr>
      <w:r>
        <w:rPr>
          <w:rFonts w:hint="eastAsia"/>
        </w:rPr>
        <w:t>劳保用品入库宜包括以下内容：</w:t>
      </w:r>
    </w:p>
    <w:p>
      <w:pPr>
        <w:pStyle w:val="179"/>
        <w:numPr>
          <w:ilvl w:val="0"/>
          <w:numId w:val="101"/>
        </w:numPr>
      </w:pPr>
      <w:r>
        <w:rPr>
          <w:rFonts w:hint="eastAsia"/>
        </w:rPr>
        <w:t>劳保用品入库申请；</w:t>
      </w:r>
    </w:p>
    <w:p>
      <w:pPr>
        <w:pStyle w:val="179"/>
        <w:numPr>
          <w:ilvl w:val="0"/>
          <w:numId w:val="101"/>
        </w:numPr>
      </w:pPr>
      <w:r>
        <w:rPr>
          <w:rFonts w:hint="eastAsia"/>
        </w:rPr>
        <w:t>添加入库物料明细；</w:t>
      </w:r>
    </w:p>
    <w:p>
      <w:pPr>
        <w:pStyle w:val="179"/>
        <w:numPr>
          <w:ilvl w:val="0"/>
          <w:numId w:val="101"/>
        </w:numPr>
      </w:pPr>
      <w:r>
        <w:rPr>
          <w:rFonts w:hint="eastAsia"/>
        </w:rPr>
        <w:t>审批劳保用品入库。</w:t>
      </w:r>
    </w:p>
    <w:p>
      <w:pPr>
        <w:pStyle w:val="185"/>
        <w:numPr>
          <w:ilvl w:val="0"/>
          <w:numId w:val="102"/>
        </w:numPr>
      </w:pPr>
      <w:r>
        <w:rPr>
          <w:rFonts w:hint="eastAsia"/>
        </w:rPr>
        <w:t>入库申请基本信息主要包括：入库单号、所属仓库、入库日期、申请人、所入仓库、供应商等。</w:t>
      </w:r>
    </w:p>
    <w:p>
      <w:pPr>
        <w:pStyle w:val="185"/>
        <w:numPr>
          <w:ilvl w:val="0"/>
          <w:numId w:val="102"/>
        </w:numPr>
      </w:pPr>
      <w:r>
        <w:rPr>
          <w:rFonts w:hint="eastAsia"/>
        </w:rPr>
        <w:t>入库物品清单：劳保用品、规格型号、计量单位、入库数量、生产日期、质保期等。</w:t>
      </w:r>
    </w:p>
    <w:p>
      <w:pPr>
        <w:pStyle w:val="99"/>
        <w:spacing w:before="120" w:after="120"/>
        <w:rPr>
          <w:rFonts w:hAnsi="宋体" w:cs="宋体"/>
          <w:szCs w:val="22"/>
        </w:rPr>
      </w:pPr>
      <w:r>
        <w:rPr>
          <w:rFonts w:hint="eastAsia" w:hAnsi="宋体" w:cs="宋体"/>
          <w:szCs w:val="22"/>
        </w:rPr>
        <w:t>劳保用品管理</w:t>
      </w:r>
    </w:p>
    <w:p>
      <w:pPr>
        <w:pStyle w:val="61"/>
        <w:ind w:firstLine="420"/>
      </w:pPr>
      <w:r>
        <w:rPr>
          <w:rFonts w:hint="eastAsia"/>
        </w:rPr>
        <w:t>劳保用品管理宜包括劳保用品、规格型号、库存数量、计量单位、供应商、质保期、库管员等信息。</w:t>
      </w:r>
    </w:p>
    <w:p>
      <w:pPr>
        <w:pStyle w:val="99"/>
        <w:spacing w:before="120" w:after="120"/>
        <w:rPr>
          <w:rFonts w:hAnsi="宋体" w:cs="宋体"/>
          <w:szCs w:val="22"/>
        </w:rPr>
      </w:pPr>
      <w:r>
        <w:rPr>
          <w:rFonts w:hint="eastAsia" w:hAnsi="宋体" w:cs="宋体"/>
          <w:szCs w:val="22"/>
        </w:rPr>
        <w:t>劳保防护标准</w:t>
      </w:r>
    </w:p>
    <w:p>
      <w:pPr>
        <w:pStyle w:val="61"/>
        <w:ind w:firstLine="420"/>
      </w:pPr>
      <w:r>
        <w:rPr>
          <w:rFonts w:hint="eastAsia"/>
        </w:rPr>
        <w:t>劳保防护标准宜包括以下内容：</w:t>
      </w:r>
    </w:p>
    <w:p>
      <w:pPr>
        <w:pStyle w:val="179"/>
        <w:numPr>
          <w:ilvl w:val="0"/>
          <w:numId w:val="103"/>
        </w:numPr>
      </w:pPr>
      <w:r>
        <w:rPr>
          <w:rFonts w:hint="eastAsia"/>
        </w:rPr>
        <w:t>新增/删除劳保防护标准；</w:t>
      </w:r>
    </w:p>
    <w:p>
      <w:pPr>
        <w:pStyle w:val="179"/>
        <w:numPr>
          <w:ilvl w:val="0"/>
          <w:numId w:val="103"/>
        </w:numPr>
      </w:pPr>
      <w:r>
        <w:rPr>
          <w:rFonts w:hint="eastAsia"/>
        </w:rPr>
        <w:t>编辑劳动防护标准。</w:t>
      </w:r>
    </w:p>
    <w:p>
      <w:pPr>
        <w:pStyle w:val="247"/>
      </w:pPr>
      <w:r>
        <w:rPr>
          <w:rFonts w:hint="eastAsia"/>
        </w:rPr>
        <w:t>劳保防护标准信息主要包括：所属部门、岗位、劳保用品、质保期、数量、备注等。</w:t>
      </w:r>
    </w:p>
    <w:p>
      <w:pPr>
        <w:pStyle w:val="99"/>
        <w:spacing w:before="120" w:after="120"/>
        <w:rPr>
          <w:rFonts w:hAnsi="宋体" w:cs="宋体"/>
          <w:szCs w:val="22"/>
        </w:rPr>
      </w:pPr>
      <w:r>
        <w:rPr>
          <w:rFonts w:hint="eastAsia" w:hAnsi="宋体" w:cs="宋体"/>
          <w:szCs w:val="22"/>
        </w:rPr>
        <w:t>劳保用品领用</w:t>
      </w:r>
    </w:p>
    <w:p>
      <w:pPr>
        <w:pStyle w:val="61"/>
        <w:ind w:firstLine="420"/>
      </w:pPr>
      <w:r>
        <w:rPr>
          <w:rFonts w:hint="eastAsia"/>
        </w:rPr>
        <w:t>劳保用品领用申请宜包括以下内容：</w:t>
      </w:r>
    </w:p>
    <w:p>
      <w:pPr>
        <w:pStyle w:val="179"/>
        <w:numPr>
          <w:ilvl w:val="0"/>
          <w:numId w:val="104"/>
        </w:numPr>
      </w:pPr>
      <w:r>
        <w:rPr>
          <w:rFonts w:hint="eastAsia"/>
        </w:rPr>
        <w:t>新增/删除劳保用品领用基本信息和物品清单申请；</w:t>
      </w:r>
    </w:p>
    <w:p>
      <w:pPr>
        <w:pStyle w:val="179"/>
        <w:numPr>
          <w:ilvl w:val="0"/>
          <w:numId w:val="104"/>
        </w:numPr>
      </w:pPr>
      <w:r>
        <w:rPr>
          <w:rFonts w:hint="eastAsia"/>
        </w:rPr>
        <w:t>编辑劳保用品领用基本信息和物料明细申请；</w:t>
      </w:r>
    </w:p>
    <w:p>
      <w:pPr>
        <w:pStyle w:val="179"/>
        <w:numPr>
          <w:ilvl w:val="0"/>
          <w:numId w:val="104"/>
        </w:numPr>
      </w:pPr>
      <w:r>
        <w:rPr>
          <w:rFonts w:hint="eastAsia"/>
        </w:rPr>
        <w:t>审批劳保用品领用；</w:t>
      </w:r>
    </w:p>
    <w:p>
      <w:pPr>
        <w:pStyle w:val="179"/>
        <w:numPr>
          <w:ilvl w:val="0"/>
          <w:numId w:val="104"/>
        </w:numPr>
      </w:pPr>
      <w:r>
        <w:rPr>
          <w:rFonts w:hint="eastAsia"/>
        </w:rPr>
        <w:t>领用劳保用品。</w:t>
      </w:r>
    </w:p>
    <w:p>
      <w:pPr>
        <w:pStyle w:val="185"/>
        <w:numPr>
          <w:ilvl w:val="0"/>
          <w:numId w:val="105"/>
        </w:numPr>
      </w:pPr>
      <w:r>
        <w:rPr>
          <w:rFonts w:hint="eastAsia"/>
        </w:rPr>
        <w:t>劳保用品领用基本信息主要包括：领用单号、申请人、所属部门、申请时间、仓库、备注等。</w:t>
      </w:r>
    </w:p>
    <w:p>
      <w:pPr>
        <w:pStyle w:val="185"/>
        <w:numPr>
          <w:ilvl w:val="0"/>
          <w:numId w:val="65"/>
        </w:numPr>
      </w:pPr>
      <w:r>
        <w:rPr>
          <w:rFonts w:hint="eastAsia"/>
        </w:rPr>
        <w:t>领用物品清单：劳保用品、规格型号、计量单位、数量、库存数量等。</w:t>
      </w:r>
    </w:p>
    <w:p>
      <w:pPr>
        <w:pStyle w:val="99"/>
        <w:spacing w:before="120" w:after="120"/>
        <w:rPr>
          <w:rFonts w:hAnsi="宋体" w:cs="宋体"/>
          <w:szCs w:val="22"/>
        </w:rPr>
      </w:pPr>
      <w:r>
        <w:rPr>
          <w:rFonts w:hint="eastAsia" w:hAnsi="宋体" w:cs="宋体"/>
          <w:szCs w:val="22"/>
        </w:rPr>
        <w:t>劳保用品统计分析</w:t>
      </w:r>
    </w:p>
    <w:p>
      <w:pPr>
        <w:pStyle w:val="61"/>
        <w:ind w:firstLine="420"/>
      </w:pPr>
      <w:r>
        <w:rPr>
          <w:rFonts w:hint="eastAsia"/>
        </w:rPr>
        <w:t>劳保用品统计分析宜按劳保物品数量、各单位领用情况和仓库等确定。</w:t>
      </w:r>
    </w:p>
    <w:p>
      <w:pPr>
        <w:pStyle w:val="110"/>
        <w:spacing w:before="120" w:after="120"/>
      </w:pPr>
      <w:bookmarkStart w:id="387" w:name="_Toc99547391"/>
      <w:bookmarkStart w:id="388" w:name="_Toc99548259"/>
      <w:bookmarkStart w:id="389" w:name="_Toc99548484"/>
      <w:bookmarkStart w:id="390" w:name="_Toc99547245"/>
      <w:bookmarkStart w:id="391" w:name="_Toc32311"/>
      <w:bookmarkStart w:id="392" w:name="_Toc4811"/>
      <w:r>
        <w:rPr>
          <w:rFonts w:hint="eastAsia"/>
        </w:rPr>
        <w:t>可视化管理</w:t>
      </w:r>
      <w:bookmarkEnd w:id="387"/>
      <w:bookmarkEnd w:id="388"/>
      <w:bookmarkEnd w:id="389"/>
      <w:bookmarkEnd w:id="390"/>
      <w:bookmarkEnd w:id="391"/>
      <w:bookmarkEnd w:id="392"/>
    </w:p>
    <w:p>
      <w:pPr>
        <w:pStyle w:val="61"/>
        <w:ind w:firstLine="420"/>
      </w:pPr>
      <w:r>
        <w:rPr>
          <w:rFonts w:hint="eastAsia"/>
        </w:rPr>
        <w:t>可视化管理是可选功能模块，宜呈现风险分布、隐患排查治理、设备巡检、预警中心等情况。以直观分析图表和多种智能分析功能结合的方式展示监控数据，监控数据宜包含：</w:t>
      </w:r>
    </w:p>
    <w:p>
      <w:pPr>
        <w:pStyle w:val="179"/>
        <w:numPr>
          <w:ilvl w:val="0"/>
          <w:numId w:val="106"/>
        </w:numPr>
      </w:pPr>
      <w:r>
        <w:rPr>
          <w:rFonts w:hint="eastAsia"/>
        </w:rPr>
        <w:t>风险分布，风险四色图红橙黄蓝分布呈现；</w:t>
      </w:r>
    </w:p>
    <w:p>
      <w:pPr>
        <w:pStyle w:val="179"/>
        <w:numPr>
          <w:ilvl w:val="0"/>
          <w:numId w:val="106"/>
        </w:numPr>
      </w:pPr>
      <w:r>
        <w:rPr>
          <w:rFonts w:hint="eastAsia"/>
        </w:rPr>
        <w:t>隐患排查治理，隐患排查治理结果及整改验收情况闭环呈现；</w:t>
      </w:r>
    </w:p>
    <w:p>
      <w:pPr>
        <w:pStyle w:val="179"/>
        <w:numPr>
          <w:ilvl w:val="0"/>
          <w:numId w:val="106"/>
        </w:numPr>
      </w:pPr>
      <w:r>
        <w:rPr>
          <w:rFonts w:hint="eastAsia"/>
        </w:rPr>
        <w:t>设备巡检，设备巡检、维修、保养及报废的直观呈现；</w:t>
      </w:r>
    </w:p>
    <w:p>
      <w:pPr>
        <w:pStyle w:val="179"/>
        <w:numPr>
          <w:ilvl w:val="0"/>
          <w:numId w:val="106"/>
        </w:numPr>
      </w:pPr>
      <w:r>
        <w:rPr>
          <w:rFonts w:hint="eastAsia"/>
        </w:rPr>
        <w:t>预警中心，关键噪音、温度等。</w:t>
      </w:r>
    </w:p>
    <w:p>
      <w:pPr>
        <w:pStyle w:val="110"/>
        <w:spacing w:before="120" w:after="120"/>
      </w:pPr>
      <w:bookmarkStart w:id="393" w:name="_Toc99547246"/>
      <w:bookmarkStart w:id="394" w:name="_Toc32222"/>
      <w:bookmarkStart w:id="395" w:name="_Toc99548485"/>
      <w:bookmarkStart w:id="396" w:name="_Toc99547392"/>
      <w:bookmarkStart w:id="397" w:name="_Toc10416"/>
      <w:bookmarkStart w:id="398" w:name="_Toc99548260"/>
      <w:r>
        <w:rPr>
          <w:rFonts w:hint="eastAsia"/>
        </w:rPr>
        <w:t>物联监控</w:t>
      </w:r>
      <w:bookmarkEnd w:id="393"/>
      <w:bookmarkEnd w:id="394"/>
      <w:bookmarkEnd w:id="395"/>
      <w:bookmarkEnd w:id="396"/>
      <w:bookmarkEnd w:id="397"/>
      <w:bookmarkEnd w:id="398"/>
    </w:p>
    <w:p>
      <w:pPr>
        <w:pStyle w:val="61"/>
        <w:ind w:firstLine="420"/>
      </w:pPr>
      <w:r>
        <w:rPr>
          <w:rFonts w:hint="eastAsia"/>
        </w:rPr>
        <w:t>物联监控是可选功能模块，宜呈现视频监控、职业健康危害因素监测、环境因素监测、不安全行为监控预警等情况。以直观分析图表和多种智能分析功能结合的方式展示监控数据，监控数据宜包含：</w:t>
      </w:r>
    </w:p>
    <w:p>
      <w:pPr>
        <w:pStyle w:val="179"/>
        <w:numPr>
          <w:ilvl w:val="0"/>
          <w:numId w:val="107"/>
        </w:numPr>
      </w:pPr>
      <w:r>
        <w:rPr>
          <w:rFonts w:hint="eastAsia"/>
        </w:rPr>
        <w:t>视频监控，设备、员工操作等实施监控；</w:t>
      </w:r>
    </w:p>
    <w:p>
      <w:pPr>
        <w:pStyle w:val="179"/>
        <w:numPr>
          <w:ilvl w:val="0"/>
          <w:numId w:val="107"/>
        </w:numPr>
      </w:pPr>
      <w:r>
        <w:rPr>
          <w:rFonts w:hint="eastAsia"/>
        </w:rPr>
        <w:t>职业健康危害因素监测，影响职业健康因素的监控数据的实施呈现；</w:t>
      </w:r>
    </w:p>
    <w:p>
      <w:pPr>
        <w:pStyle w:val="179"/>
        <w:numPr>
          <w:ilvl w:val="0"/>
          <w:numId w:val="107"/>
        </w:numPr>
      </w:pPr>
      <w:r>
        <w:rPr>
          <w:rFonts w:hint="eastAsia"/>
        </w:rPr>
        <w:t>环境因素监测，环境因素、三废一噪监控数据的实施呈现；</w:t>
      </w:r>
    </w:p>
    <w:p>
      <w:pPr>
        <w:pStyle w:val="179"/>
        <w:numPr>
          <w:ilvl w:val="0"/>
          <w:numId w:val="107"/>
        </w:numPr>
      </w:pPr>
      <w:r>
        <w:rPr>
          <w:rFonts w:hint="eastAsia"/>
        </w:rPr>
        <w:t>不安全行为监控预警，员工不安全行为实施监控预警。</w:t>
      </w:r>
    </w:p>
    <w:p>
      <w:pPr>
        <w:pStyle w:val="236"/>
        <w:ind w:firstLine="0" w:firstLineChars="0"/>
        <w:rPr>
          <w:sz w:val="18"/>
        </w:rPr>
      </w:pPr>
    </w:p>
    <w:p>
      <w:pPr>
        <w:pStyle w:val="236"/>
      </w:pPr>
    </w:p>
    <w:p>
      <w:pPr>
        <w:pStyle w:val="236"/>
        <w:ind w:firstLine="0" w:firstLineChars="0"/>
      </w:pPr>
    </w:p>
    <w:p>
      <w:pPr>
        <w:pStyle w:val="236"/>
        <w:ind w:firstLine="405" w:firstLineChars="0"/>
        <w:rPr>
          <w:sz w:val="18"/>
        </w:rPr>
      </w:pPr>
    </w:p>
    <w:p>
      <w:pPr>
        <w:pStyle w:val="236"/>
        <w:ind w:firstLine="0" w:firstLineChars="0"/>
      </w:pPr>
    </w:p>
    <w:p>
      <w:pPr>
        <w:pStyle w:val="236"/>
        <w:ind w:firstLine="0" w:firstLineChars="0"/>
      </w:pPr>
    </w:p>
    <w:p>
      <w:pPr>
        <w:pStyle w:val="236"/>
      </w:pPr>
    </w:p>
    <w:p>
      <w:pPr>
        <w:pStyle w:val="252"/>
        <w:numPr>
          <w:ilvl w:val="1"/>
          <w:numId w:val="0"/>
        </w:numPr>
        <w:spacing w:before="120" w:after="120"/>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1739265</wp:posOffset>
                </wp:positionH>
                <wp:positionV relativeFrom="paragraph">
                  <wp:posOffset>117475</wp:posOffset>
                </wp:positionV>
                <wp:extent cx="2466975" cy="0"/>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24669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6.95pt;margin-top:9.25pt;height:0pt;width:194.25pt;z-index:251661312;mso-width-relative:page;mso-height-relative:page;" filled="f" stroked="t" coordsize="21600,21600" o:gfxdata="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3bnLXAAAACQEAAA8AAAAAAAAAAQAgAAAAIgAAAGRycy9kb3ducmV2&#10;LnhtbFBLAQIUABQAAAAIAIdO4kBtob2r/QEAAO4DAAAOAAAAAAAAAAEAIAAAACYBAABkcnMvZTJv&#10;RG9jLnhtbFBLBQYAAAAABgAGAFkBAACVBQAAAAA=&#10;">
                <v:fill on="f" focussize="0,0"/>
                <v:stroke color="#000000" joinstyle="round"/>
                <v:imagedata o:title=""/>
                <o:lock v:ext="edit" aspectratio="f"/>
              </v:shape>
            </w:pict>
          </mc:Fallback>
        </mc:AlternateContent>
      </w:r>
      <w:bookmarkEnd w:id="20"/>
    </w:p>
    <w:sectPr>
      <w:headerReference r:id="rId13" w:type="default"/>
      <w:footerReference r:id="rId14" w:type="default"/>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BF0C"/>
    <w:multiLevelType w:val="multilevel"/>
    <w:tmpl w:val="8723BF0C"/>
    <w:lvl w:ilvl="0" w:tentative="0">
      <w:start w:val="1"/>
      <w:numFmt w:val="lowerLetter"/>
      <w:pStyle w:val="24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D983844"/>
    <w:multiLevelType w:val="multilevel"/>
    <w:tmpl w:val="0D983844"/>
    <w:lvl w:ilvl="0" w:tentative="0">
      <w:start w:val="1"/>
      <w:numFmt w:val="decimal"/>
      <w:pStyle w:val="2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2827D5B"/>
    <w:multiLevelType w:val="multilevel"/>
    <w:tmpl w:val="22827D5B"/>
    <w:lvl w:ilvl="0" w:tentative="0">
      <w:start w:val="1"/>
      <w:numFmt w:val="none"/>
      <w:pStyle w:val="24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25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249"/>
      <w:suff w:val="nothing"/>
      <w:lvlText w:val="%1.%2　"/>
      <w:lvlJc w:val="left"/>
      <w:pPr>
        <w:ind w:left="0" w:firstLine="0"/>
      </w:pPr>
      <w:rPr>
        <w:rFonts w:hint="eastAsia" w:ascii="黑体" w:eastAsia="黑体"/>
        <w:b w:val="0"/>
        <w:i w:val="0"/>
        <w:sz w:val="21"/>
      </w:rPr>
    </w:lvl>
    <w:lvl w:ilvl="2" w:tentative="0">
      <w:start w:val="1"/>
      <w:numFmt w:val="decimal"/>
      <w:pStyle w:val="250"/>
      <w:suff w:val="nothing"/>
      <w:lvlText w:val="%1.%2.%3　"/>
      <w:lvlJc w:val="left"/>
      <w:pPr>
        <w:ind w:left="0" w:firstLine="0"/>
      </w:pPr>
      <w:rPr>
        <w:rFonts w:hint="eastAsia" w:ascii="黑体" w:eastAsia="黑体"/>
        <w:b w:val="0"/>
        <w:i w:val="0"/>
        <w:sz w:val="21"/>
      </w:rPr>
    </w:lvl>
    <w:lvl w:ilvl="3" w:tentative="0">
      <w:start w:val="1"/>
      <w:numFmt w:val="decimal"/>
      <w:pStyle w:val="251"/>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24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2"/>
  </w:num>
  <w:num w:numId="3">
    <w:abstractNumId w:val="6"/>
  </w:num>
  <w:num w:numId="4">
    <w:abstractNumId w:val="28"/>
  </w:num>
  <w:num w:numId="5">
    <w:abstractNumId w:val="23"/>
  </w:num>
  <w:num w:numId="6">
    <w:abstractNumId w:val="18"/>
  </w:num>
  <w:num w:numId="7">
    <w:abstractNumId w:val="10"/>
  </w:num>
  <w:num w:numId="8">
    <w:abstractNumId w:val="4"/>
  </w:num>
  <w:num w:numId="9">
    <w:abstractNumId w:val="11"/>
  </w:num>
  <w:num w:numId="10">
    <w:abstractNumId w:val="21"/>
  </w:num>
  <w:num w:numId="11">
    <w:abstractNumId w:val="30"/>
  </w:num>
  <w:num w:numId="12">
    <w:abstractNumId w:val="16"/>
  </w:num>
  <w:num w:numId="13">
    <w:abstractNumId w:val="17"/>
  </w:num>
  <w:num w:numId="14">
    <w:abstractNumId w:val="9"/>
  </w:num>
  <w:num w:numId="15">
    <w:abstractNumId w:val="24"/>
  </w:num>
  <w:num w:numId="16">
    <w:abstractNumId w:val="26"/>
  </w:num>
  <w:num w:numId="17">
    <w:abstractNumId w:val="22"/>
  </w:num>
  <w:num w:numId="18">
    <w:abstractNumId w:val="34"/>
  </w:num>
  <w:num w:numId="19">
    <w:abstractNumId w:val="20"/>
  </w:num>
  <w:num w:numId="20">
    <w:abstractNumId w:val="2"/>
  </w:num>
  <w:num w:numId="21">
    <w:abstractNumId w:val="15"/>
  </w:num>
  <w:num w:numId="22">
    <w:abstractNumId w:val="35"/>
  </w:num>
  <w:num w:numId="23">
    <w:abstractNumId w:val="25"/>
  </w:num>
  <w:num w:numId="24">
    <w:abstractNumId w:val="7"/>
  </w:num>
  <w:num w:numId="25">
    <w:abstractNumId w:val="31"/>
  </w:num>
  <w:num w:numId="26">
    <w:abstractNumId w:val="3"/>
  </w:num>
  <w:num w:numId="27">
    <w:abstractNumId w:val="5"/>
  </w:num>
  <w:num w:numId="28">
    <w:abstractNumId w:val="19"/>
  </w:num>
  <w:num w:numId="29">
    <w:abstractNumId w:val="29"/>
  </w:num>
  <w:num w:numId="30">
    <w:abstractNumId w:val="27"/>
  </w:num>
  <w:num w:numId="31">
    <w:abstractNumId w:val="12"/>
  </w:num>
  <w:num w:numId="32">
    <w:abstractNumId w:val="8"/>
  </w:num>
  <w:num w:numId="33">
    <w:abstractNumId w:val="0"/>
  </w:num>
  <w:num w:numId="34">
    <w:abstractNumId w:val="13"/>
  </w:num>
  <w:num w:numId="35">
    <w:abstractNumId w:val="33"/>
  </w:num>
  <w:num w:numId="36">
    <w:abstractNumId w:val="1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Y2E3ZTE1YWM4NTE1YWRmMjUwZDM3OTMwODlmYWYifQ=="/>
  </w:docVars>
  <w:rsids>
    <w:rsidRoot w:val="00172A27"/>
    <w:rsid w:val="0000040A"/>
    <w:rsid w:val="00000A94"/>
    <w:rsid w:val="00001972"/>
    <w:rsid w:val="00001D9A"/>
    <w:rsid w:val="00007B3A"/>
    <w:rsid w:val="000107E0"/>
    <w:rsid w:val="00011FDE"/>
    <w:rsid w:val="00012FFD"/>
    <w:rsid w:val="00014162"/>
    <w:rsid w:val="0001418A"/>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EDE"/>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42E"/>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72D"/>
    <w:rsid w:val="000D753B"/>
    <w:rsid w:val="000E4C9E"/>
    <w:rsid w:val="000E6FD7"/>
    <w:rsid w:val="000F06E1"/>
    <w:rsid w:val="000F0E3C"/>
    <w:rsid w:val="000F19D5"/>
    <w:rsid w:val="000F4050"/>
    <w:rsid w:val="000F4AEA"/>
    <w:rsid w:val="000F67E9"/>
    <w:rsid w:val="00104926"/>
    <w:rsid w:val="001053CD"/>
    <w:rsid w:val="00113B1E"/>
    <w:rsid w:val="0011711C"/>
    <w:rsid w:val="00120729"/>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E12"/>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957"/>
    <w:rsid w:val="001B71D0"/>
    <w:rsid w:val="001B71EE"/>
    <w:rsid w:val="001C04A8"/>
    <w:rsid w:val="001C2C03"/>
    <w:rsid w:val="001C306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DD1"/>
    <w:rsid w:val="001F69B4"/>
    <w:rsid w:val="001F77C7"/>
    <w:rsid w:val="00200183"/>
    <w:rsid w:val="00200333"/>
    <w:rsid w:val="0020107D"/>
    <w:rsid w:val="00202AA4"/>
    <w:rsid w:val="00202E65"/>
    <w:rsid w:val="002031F7"/>
    <w:rsid w:val="002040E6"/>
    <w:rsid w:val="0020527B"/>
    <w:rsid w:val="00205F2C"/>
    <w:rsid w:val="00206176"/>
    <w:rsid w:val="00210B15"/>
    <w:rsid w:val="002111B2"/>
    <w:rsid w:val="002142EA"/>
    <w:rsid w:val="00215ADD"/>
    <w:rsid w:val="002171C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5DD"/>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C1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C13"/>
    <w:rsid w:val="002E4D5A"/>
    <w:rsid w:val="002E6326"/>
    <w:rsid w:val="002F30E0"/>
    <w:rsid w:val="002F35E4"/>
    <w:rsid w:val="002F3730"/>
    <w:rsid w:val="002F38E1"/>
    <w:rsid w:val="002F7AF6"/>
    <w:rsid w:val="00300E63"/>
    <w:rsid w:val="00302F5F"/>
    <w:rsid w:val="0030441D"/>
    <w:rsid w:val="00306063"/>
    <w:rsid w:val="00307805"/>
    <w:rsid w:val="00311192"/>
    <w:rsid w:val="00313B85"/>
    <w:rsid w:val="00317988"/>
    <w:rsid w:val="003221B4"/>
    <w:rsid w:val="0032258D"/>
    <w:rsid w:val="00322E62"/>
    <w:rsid w:val="00324D13"/>
    <w:rsid w:val="00324EDD"/>
    <w:rsid w:val="003331E4"/>
    <w:rsid w:val="00336C64"/>
    <w:rsid w:val="00337162"/>
    <w:rsid w:val="0034194F"/>
    <w:rsid w:val="0034374C"/>
    <w:rsid w:val="00344605"/>
    <w:rsid w:val="003474AA"/>
    <w:rsid w:val="00350D1D"/>
    <w:rsid w:val="00352C83"/>
    <w:rsid w:val="00352F1A"/>
    <w:rsid w:val="00354630"/>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61B"/>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4EB"/>
    <w:rsid w:val="003E660F"/>
    <w:rsid w:val="003F0841"/>
    <w:rsid w:val="003F23D3"/>
    <w:rsid w:val="003F3F08"/>
    <w:rsid w:val="003F49F1"/>
    <w:rsid w:val="003F6272"/>
    <w:rsid w:val="003F71A5"/>
    <w:rsid w:val="00400E72"/>
    <w:rsid w:val="00401400"/>
    <w:rsid w:val="00404869"/>
    <w:rsid w:val="00405884"/>
    <w:rsid w:val="00407D39"/>
    <w:rsid w:val="0041477A"/>
    <w:rsid w:val="004167A3"/>
    <w:rsid w:val="0042327F"/>
    <w:rsid w:val="00432DAA"/>
    <w:rsid w:val="00434305"/>
    <w:rsid w:val="00435DF7"/>
    <w:rsid w:val="0044083F"/>
    <w:rsid w:val="00441AE7"/>
    <w:rsid w:val="00445574"/>
    <w:rsid w:val="004467FB"/>
    <w:rsid w:val="00452D6B"/>
    <w:rsid w:val="00454484"/>
    <w:rsid w:val="0045517B"/>
    <w:rsid w:val="004576D6"/>
    <w:rsid w:val="00463B77"/>
    <w:rsid w:val="00463C7B"/>
    <w:rsid w:val="004644A6"/>
    <w:rsid w:val="004659BD"/>
    <w:rsid w:val="00470775"/>
    <w:rsid w:val="00473B04"/>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48A"/>
    <w:rsid w:val="004B3AA8"/>
    <w:rsid w:val="004B3E93"/>
    <w:rsid w:val="004C1FBC"/>
    <w:rsid w:val="004C25A2"/>
    <w:rsid w:val="004C3F1D"/>
    <w:rsid w:val="004C458D"/>
    <w:rsid w:val="004C53DE"/>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424"/>
    <w:rsid w:val="00510A7B"/>
    <w:rsid w:val="00512F6E"/>
    <w:rsid w:val="00513038"/>
    <w:rsid w:val="00514174"/>
    <w:rsid w:val="00516088"/>
    <w:rsid w:val="00516B0B"/>
    <w:rsid w:val="005220EC"/>
    <w:rsid w:val="00523F95"/>
    <w:rsid w:val="00524D65"/>
    <w:rsid w:val="00525B16"/>
    <w:rsid w:val="00531387"/>
    <w:rsid w:val="00533D04"/>
    <w:rsid w:val="00534804"/>
    <w:rsid w:val="00534BDF"/>
    <w:rsid w:val="005354EA"/>
    <w:rsid w:val="0053585F"/>
    <w:rsid w:val="00535EC4"/>
    <w:rsid w:val="00535ED9"/>
    <w:rsid w:val="00536913"/>
    <w:rsid w:val="0053692B"/>
    <w:rsid w:val="00541245"/>
    <w:rsid w:val="00541853"/>
    <w:rsid w:val="00543BDA"/>
    <w:rsid w:val="005441CC"/>
    <w:rsid w:val="005479DA"/>
    <w:rsid w:val="00547BCC"/>
    <w:rsid w:val="0055013B"/>
    <w:rsid w:val="00551AA4"/>
    <w:rsid w:val="00551F6F"/>
    <w:rsid w:val="00555044"/>
    <w:rsid w:val="00560FA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8F9"/>
    <w:rsid w:val="005A260B"/>
    <w:rsid w:val="005A4A1B"/>
    <w:rsid w:val="005A7830"/>
    <w:rsid w:val="005A7FCE"/>
    <w:rsid w:val="005B0F3F"/>
    <w:rsid w:val="005B191C"/>
    <w:rsid w:val="005B4903"/>
    <w:rsid w:val="005B51CE"/>
    <w:rsid w:val="005B5885"/>
    <w:rsid w:val="005B5CD7"/>
    <w:rsid w:val="005B6CF6"/>
    <w:rsid w:val="005B7422"/>
    <w:rsid w:val="005C29B8"/>
    <w:rsid w:val="005C536B"/>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229"/>
    <w:rsid w:val="006B2672"/>
    <w:rsid w:val="006B2A5B"/>
    <w:rsid w:val="006B54BF"/>
    <w:rsid w:val="006B5F44"/>
    <w:rsid w:val="006B5F90"/>
    <w:rsid w:val="006B62E4"/>
    <w:rsid w:val="006B7D0A"/>
    <w:rsid w:val="006C1BBA"/>
    <w:rsid w:val="006C2079"/>
    <w:rsid w:val="006C3949"/>
    <w:rsid w:val="006C59FA"/>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5FF"/>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5CD"/>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748"/>
    <w:rsid w:val="00865ACA"/>
    <w:rsid w:val="00865D28"/>
    <w:rsid w:val="00865F85"/>
    <w:rsid w:val="00867C10"/>
    <w:rsid w:val="00870439"/>
    <w:rsid w:val="00870DA1"/>
    <w:rsid w:val="00881B84"/>
    <w:rsid w:val="00883F93"/>
    <w:rsid w:val="00884CD5"/>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351"/>
    <w:rsid w:val="008B7E05"/>
    <w:rsid w:val="008C1797"/>
    <w:rsid w:val="008C219C"/>
    <w:rsid w:val="008C475E"/>
    <w:rsid w:val="008C619A"/>
    <w:rsid w:val="008D0CE8"/>
    <w:rsid w:val="008D257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AE3"/>
    <w:rsid w:val="009062E6"/>
    <w:rsid w:val="00911BE5"/>
    <w:rsid w:val="00913CA9"/>
    <w:rsid w:val="009145AE"/>
    <w:rsid w:val="009146CE"/>
    <w:rsid w:val="00914CA7"/>
    <w:rsid w:val="00915C3E"/>
    <w:rsid w:val="009161A8"/>
    <w:rsid w:val="009245AE"/>
    <w:rsid w:val="009245F5"/>
    <w:rsid w:val="009249EC"/>
    <w:rsid w:val="009273B3"/>
    <w:rsid w:val="009305B5"/>
    <w:rsid w:val="00933427"/>
    <w:rsid w:val="009378DD"/>
    <w:rsid w:val="00937BC7"/>
    <w:rsid w:val="00937F52"/>
    <w:rsid w:val="009429D5"/>
    <w:rsid w:val="00942BF1"/>
    <w:rsid w:val="0094517A"/>
    <w:rsid w:val="00945180"/>
    <w:rsid w:val="00945428"/>
    <w:rsid w:val="0094607B"/>
    <w:rsid w:val="00953604"/>
    <w:rsid w:val="0095496B"/>
    <w:rsid w:val="00960F1E"/>
    <w:rsid w:val="009610DC"/>
    <w:rsid w:val="00961490"/>
    <w:rsid w:val="00961D77"/>
    <w:rsid w:val="0096381A"/>
    <w:rsid w:val="00965E04"/>
    <w:rsid w:val="009674AD"/>
    <w:rsid w:val="00970CDC"/>
    <w:rsid w:val="00970E5B"/>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C1B"/>
    <w:rsid w:val="009B6029"/>
    <w:rsid w:val="009B6971"/>
    <w:rsid w:val="009C27F1"/>
    <w:rsid w:val="009C3152"/>
    <w:rsid w:val="009C3257"/>
    <w:rsid w:val="009C4CFA"/>
    <w:rsid w:val="009C5070"/>
    <w:rsid w:val="009D112C"/>
    <w:rsid w:val="009D1385"/>
    <w:rsid w:val="009D355D"/>
    <w:rsid w:val="009D47FA"/>
    <w:rsid w:val="009D4C5B"/>
    <w:rsid w:val="009D50D2"/>
    <w:rsid w:val="009D6BCA"/>
    <w:rsid w:val="009E0F62"/>
    <w:rsid w:val="009E4A58"/>
    <w:rsid w:val="009E5A2D"/>
    <w:rsid w:val="009E5AB2"/>
    <w:rsid w:val="009E6219"/>
    <w:rsid w:val="009F03B3"/>
    <w:rsid w:val="009F079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08B"/>
    <w:rsid w:val="00A553D1"/>
    <w:rsid w:val="00A55BD6"/>
    <w:rsid w:val="00A55D50"/>
    <w:rsid w:val="00A57142"/>
    <w:rsid w:val="00A648CD"/>
    <w:rsid w:val="00A6537A"/>
    <w:rsid w:val="00A67866"/>
    <w:rsid w:val="00A70B07"/>
    <w:rsid w:val="00A723F8"/>
    <w:rsid w:val="00A77CCB"/>
    <w:rsid w:val="00A828AD"/>
    <w:rsid w:val="00A83D8D"/>
    <w:rsid w:val="00A8446B"/>
    <w:rsid w:val="00A8473F"/>
    <w:rsid w:val="00A862D6"/>
    <w:rsid w:val="00A8715E"/>
    <w:rsid w:val="00A9295B"/>
    <w:rsid w:val="00A93B09"/>
    <w:rsid w:val="00A952D7"/>
    <w:rsid w:val="00A95FD1"/>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D1C"/>
    <w:rsid w:val="00AE5EB4"/>
    <w:rsid w:val="00AF0C18"/>
    <w:rsid w:val="00AF47C5"/>
    <w:rsid w:val="00AF5398"/>
    <w:rsid w:val="00B01EDA"/>
    <w:rsid w:val="00B049AF"/>
    <w:rsid w:val="00B07242"/>
    <w:rsid w:val="00B10534"/>
    <w:rsid w:val="00B113DB"/>
    <w:rsid w:val="00B11D8A"/>
    <w:rsid w:val="00B12981"/>
    <w:rsid w:val="00B147DD"/>
    <w:rsid w:val="00B156FD"/>
    <w:rsid w:val="00B21F61"/>
    <w:rsid w:val="00B23290"/>
    <w:rsid w:val="00B261F1"/>
    <w:rsid w:val="00B265BC"/>
    <w:rsid w:val="00B31FB1"/>
    <w:rsid w:val="00B33952"/>
    <w:rsid w:val="00B33C5E"/>
    <w:rsid w:val="00B34047"/>
    <w:rsid w:val="00B342F4"/>
    <w:rsid w:val="00B34369"/>
    <w:rsid w:val="00B34DC2"/>
    <w:rsid w:val="00B378E5"/>
    <w:rsid w:val="00B4346D"/>
    <w:rsid w:val="00B440F4"/>
    <w:rsid w:val="00B447A5"/>
    <w:rsid w:val="00B4654C"/>
    <w:rsid w:val="00B47293"/>
    <w:rsid w:val="00B50291"/>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EB8"/>
    <w:rsid w:val="00BB5F8F"/>
    <w:rsid w:val="00BB657A"/>
    <w:rsid w:val="00BC1A4E"/>
    <w:rsid w:val="00BC5DC7"/>
    <w:rsid w:val="00BC6B8B"/>
    <w:rsid w:val="00BC73D8"/>
    <w:rsid w:val="00BD48A8"/>
    <w:rsid w:val="00BD52D7"/>
    <w:rsid w:val="00BD5AD2"/>
    <w:rsid w:val="00BE019F"/>
    <w:rsid w:val="00BE22F3"/>
    <w:rsid w:val="00BE5B52"/>
    <w:rsid w:val="00BE7B8D"/>
    <w:rsid w:val="00BF0993"/>
    <w:rsid w:val="00BF10A9"/>
    <w:rsid w:val="00BF1703"/>
    <w:rsid w:val="00BF231C"/>
    <w:rsid w:val="00BF51E5"/>
    <w:rsid w:val="00BF74A6"/>
    <w:rsid w:val="00C013AD"/>
    <w:rsid w:val="00C03F7B"/>
    <w:rsid w:val="00C04904"/>
    <w:rsid w:val="00C056B3"/>
    <w:rsid w:val="00C06F9E"/>
    <w:rsid w:val="00C103E5"/>
    <w:rsid w:val="00C13319"/>
    <w:rsid w:val="00C13EE9"/>
    <w:rsid w:val="00C21540"/>
    <w:rsid w:val="00C21906"/>
    <w:rsid w:val="00C21BFA"/>
    <w:rsid w:val="00C24C8D"/>
    <w:rsid w:val="00C25FE2"/>
    <w:rsid w:val="00C26B53"/>
    <w:rsid w:val="00C2753E"/>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75B"/>
    <w:rsid w:val="00C84E33"/>
    <w:rsid w:val="00C85698"/>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16E8"/>
    <w:rsid w:val="00D84941"/>
    <w:rsid w:val="00D84FA1"/>
    <w:rsid w:val="00D851F0"/>
    <w:rsid w:val="00D86DB7"/>
    <w:rsid w:val="00D87BF5"/>
    <w:rsid w:val="00D90721"/>
    <w:rsid w:val="00D91C13"/>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372"/>
    <w:rsid w:val="00DB66CA"/>
    <w:rsid w:val="00DB6BCA"/>
    <w:rsid w:val="00DB6F54"/>
    <w:rsid w:val="00DB73F7"/>
    <w:rsid w:val="00DC0321"/>
    <w:rsid w:val="00DC3067"/>
    <w:rsid w:val="00DC370B"/>
    <w:rsid w:val="00DC5A8E"/>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278"/>
    <w:rsid w:val="00E01138"/>
    <w:rsid w:val="00E02D81"/>
    <w:rsid w:val="00E02DFB"/>
    <w:rsid w:val="00E030F9"/>
    <w:rsid w:val="00E0311A"/>
    <w:rsid w:val="00E03138"/>
    <w:rsid w:val="00E06404"/>
    <w:rsid w:val="00E11A85"/>
    <w:rsid w:val="00E12495"/>
    <w:rsid w:val="00E15CCD"/>
    <w:rsid w:val="00E168F1"/>
    <w:rsid w:val="00E202EF"/>
    <w:rsid w:val="00E210B5"/>
    <w:rsid w:val="00E2552F"/>
    <w:rsid w:val="00E3137A"/>
    <w:rsid w:val="00E32CCF"/>
    <w:rsid w:val="00E34A98"/>
    <w:rsid w:val="00E35007"/>
    <w:rsid w:val="00E35D1E"/>
    <w:rsid w:val="00E364F9"/>
    <w:rsid w:val="00E365FA"/>
    <w:rsid w:val="00E36789"/>
    <w:rsid w:val="00E44A83"/>
    <w:rsid w:val="00E45A3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7D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146"/>
    <w:rsid w:val="00EE0350"/>
    <w:rsid w:val="00EE0719"/>
    <w:rsid w:val="00EE0E80"/>
    <w:rsid w:val="00EE613F"/>
    <w:rsid w:val="00EE7295"/>
    <w:rsid w:val="00EE7869"/>
    <w:rsid w:val="00EF054A"/>
    <w:rsid w:val="00EF11FB"/>
    <w:rsid w:val="00EF2DAF"/>
    <w:rsid w:val="00EF3235"/>
    <w:rsid w:val="00EF7E72"/>
    <w:rsid w:val="00F00CF5"/>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47BB3"/>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383"/>
    <w:rsid w:val="00FA662D"/>
    <w:rsid w:val="00FA73B1"/>
    <w:rsid w:val="00FB02F8"/>
    <w:rsid w:val="00FB0CB9"/>
    <w:rsid w:val="00FB231D"/>
    <w:rsid w:val="00FB45F1"/>
    <w:rsid w:val="00FB4A72"/>
    <w:rsid w:val="00FB54E8"/>
    <w:rsid w:val="00FB7054"/>
    <w:rsid w:val="00FC17B7"/>
    <w:rsid w:val="00FC2518"/>
    <w:rsid w:val="00FC2CB7"/>
    <w:rsid w:val="00FC4090"/>
    <w:rsid w:val="00FC55B4"/>
    <w:rsid w:val="00FD00E6"/>
    <w:rsid w:val="00FD09A1"/>
    <w:rsid w:val="00FD2A7C"/>
    <w:rsid w:val="00FD3FF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A16EA6"/>
    <w:rsid w:val="01C74429"/>
    <w:rsid w:val="01D620C3"/>
    <w:rsid w:val="01F0371B"/>
    <w:rsid w:val="02015FF3"/>
    <w:rsid w:val="02467D8E"/>
    <w:rsid w:val="0260750A"/>
    <w:rsid w:val="02624152"/>
    <w:rsid w:val="026C6FD9"/>
    <w:rsid w:val="03321260"/>
    <w:rsid w:val="03393105"/>
    <w:rsid w:val="035E32C9"/>
    <w:rsid w:val="05714E9C"/>
    <w:rsid w:val="06605FD1"/>
    <w:rsid w:val="06A0349B"/>
    <w:rsid w:val="06B3208A"/>
    <w:rsid w:val="0777297F"/>
    <w:rsid w:val="078924AD"/>
    <w:rsid w:val="07A86AAB"/>
    <w:rsid w:val="07C7081E"/>
    <w:rsid w:val="07E224F5"/>
    <w:rsid w:val="0892162E"/>
    <w:rsid w:val="08BE6E88"/>
    <w:rsid w:val="08F2223F"/>
    <w:rsid w:val="09173771"/>
    <w:rsid w:val="09543CDF"/>
    <w:rsid w:val="09FE40A3"/>
    <w:rsid w:val="0A5C3612"/>
    <w:rsid w:val="0A63566C"/>
    <w:rsid w:val="0AEF054D"/>
    <w:rsid w:val="0B9C3506"/>
    <w:rsid w:val="0BAA6037"/>
    <w:rsid w:val="0BB1164B"/>
    <w:rsid w:val="0BCF050F"/>
    <w:rsid w:val="0C2A5CE1"/>
    <w:rsid w:val="0C461CDC"/>
    <w:rsid w:val="0CDF3AC9"/>
    <w:rsid w:val="0D7215C4"/>
    <w:rsid w:val="0D92033F"/>
    <w:rsid w:val="0E011C4F"/>
    <w:rsid w:val="0E1B1CC8"/>
    <w:rsid w:val="0E9E479E"/>
    <w:rsid w:val="100104ED"/>
    <w:rsid w:val="101D790A"/>
    <w:rsid w:val="10AA58F8"/>
    <w:rsid w:val="10B0635D"/>
    <w:rsid w:val="10C43531"/>
    <w:rsid w:val="10F734DB"/>
    <w:rsid w:val="11F34DC7"/>
    <w:rsid w:val="11F57627"/>
    <w:rsid w:val="11FF7C6D"/>
    <w:rsid w:val="120E4CCA"/>
    <w:rsid w:val="127E28E2"/>
    <w:rsid w:val="12AD0CD2"/>
    <w:rsid w:val="12BC165D"/>
    <w:rsid w:val="12CD73C6"/>
    <w:rsid w:val="13144748"/>
    <w:rsid w:val="139F4D6C"/>
    <w:rsid w:val="13BB2305"/>
    <w:rsid w:val="13F0525B"/>
    <w:rsid w:val="141F1312"/>
    <w:rsid w:val="146870C4"/>
    <w:rsid w:val="14D82D75"/>
    <w:rsid w:val="14FF2B7F"/>
    <w:rsid w:val="152F0406"/>
    <w:rsid w:val="153313D6"/>
    <w:rsid w:val="15C71456"/>
    <w:rsid w:val="16811788"/>
    <w:rsid w:val="172D5F5D"/>
    <w:rsid w:val="177249E0"/>
    <w:rsid w:val="17727694"/>
    <w:rsid w:val="18532E5B"/>
    <w:rsid w:val="18C535EB"/>
    <w:rsid w:val="19415D6E"/>
    <w:rsid w:val="197479EA"/>
    <w:rsid w:val="198F1879"/>
    <w:rsid w:val="19B77B47"/>
    <w:rsid w:val="1C1F43CE"/>
    <w:rsid w:val="1C793776"/>
    <w:rsid w:val="1CCE1275"/>
    <w:rsid w:val="1CD66215"/>
    <w:rsid w:val="1CE51329"/>
    <w:rsid w:val="1D054B71"/>
    <w:rsid w:val="1D1F18D5"/>
    <w:rsid w:val="1D3249F5"/>
    <w:rsid w:val="1D4209B0"/>
    <w:rsid w:val="1DC964EA"/>
    <w:rsid w:val="1E10152D"/>
    <w:rsid w:val="1E5B61CE"/>
    <w:rsid w:val="1E9B3D54"/>
    <w:rsid w:val="1EC6529E"/>
    <w:rsid w:val="1EE06EAA"/>
    <w:rsid w:val="1EE12B77"/>
    <w:rsid w:val="1FB04556"/>
    <w:rsid w:val="1FBF3D12"/>
    <w:rsid w:val="20D32FEA"/>
    <w:rsid w:val="2106087B"/>
    <w:rsid w:val="212E00A1"/>
    <w:rsid w:val="213C10C0"/>
    <w:rsid w:val="21FB7A5E"/>
    <w:rsid w:val="226F33EA"/>
    <w:rsid w:val="229517E2"/>
    <w:rsid w:val="23066078"/>
    <w:rsid w:val="237A48DF"/>
    <w:rsid w:val="237B0AEF"/>
    <w:rsid w:val="237C00A2"/>
    <w:rsid w:val="23C2284B"/>
    <w:rsid w:val="247C0C4C"/>
    <w:rsid w:val="249075C0"/>
    <w:rsid w:val="249616E0"/>
    <w:rsid w:val="250918A9"/>
    <w:rsid w:val="25426475"/>
    <w:rsid w:val="2547018E"/>
    <w:rsid w:val="25675458"/>
    <w:rsid w:val="2593416A"/>
    <w:rsid w:val="26960C5C"/>
    <w:rsid w:val="26BD3906"/>
    <w:rsid w:val="26F176CF"/>
    <w:rsid w:val="275C2DD3"/>
    <w:rsid w:val="27D767A4"/>
    <w:rsid w:val="280D09AD"/>
    <w:rsid w:val="28324104"/>
    <w:rsid w:val="293629D7"/>
    <w:rsid w:val="2A51709D"/>
    <w:rsid w:val="2A5650D2"/>
    <w:rsid w:val="2A707212"/>
    <w:rsid w:val="2A73489F"/>
    <w:rsid w:val="2AE265E1"/>
    <w:rsid w:val="2AF74987"/>
    <w:rsid w:val="2B064267"/>
    <w:rsid w:val="2B361B54"/>
    <w:rsid w:val="2B522513"/>
    <w:rsid w:val="2B803DDD"/>
    <w:rsid w:val="2BBB5E71"/>
    <w:rsid w:val="2BC37C05"/>
    <w:rsid w:val="2BE9306B"/>
    <w:rsid w:val="2C885D24"/>
    <w:rsid w:val="2CC232F9"/>
    <w:rsid w:val="2CC334A6"/>
    <w:rsid w:val="2CE455E0"/>
    <w:rsid w:val="2DC00CD4"/>
    <w:rsid w:val="2E162261"/>
    <w:rsid w:val="2E235E0C"/>
    <w:rsid w:val="2E2B598B"/>
    <w:rsid w:val="2E590A32"/>
    <w:rsid w:val="2E6D34B3"/>
    <w:rsid w:val="2E707A1A"/>
    <w:rsid w:val="2EDB05B9"/>
    <w:rsid w:val="2F160BF3"/>
    <w:rsid w:val="2F6D1960"/>
    <w:rsid w:val="2F963509"/>
    <w:rsid w:val="305C155C"/>
    <w:rsid w:val="307A24E3"/>
    <w:rsid w:val="313D1CD9"/>
    <w:rsid w:val="317022A3"/>
    <w:rsid w:val="318F6D5C"/>
    <w:rsid w:val="31C51ADB"/>
    <w:rsid w:val="31C82A92"/>
    <w:rsid w:val="32625140"/>
    <w:rsid w:val="33636CFD"/>
    <w:rsid w:val="33C63C91"/>
    <w:rsid w:val="33F15653"/>
    <w:rsid w:val="34014CC9"/>
    <w:rsid w:val="34176208"/>
    <w:rsid w:val="344A5315"/>
    <w:rsid w:val="345353E9"/>
    <w:rsid w:val="34690013"/>
    <w:rsid w:val="34701283"/>
    <w:rsid w:val="34727ACC"/>
    <w:rsid w:val="35186F7A"/>
    <w:rsid w:val="358133CD"/>
    <w:rsid w:val="35C36479"/>
    <w:rsid w:val="35D22DC1"/>
    <w:rsid w:val="35EE1166"/>
    <w:rsid w:val="366A2C0A"/>
    <w:rsid w:val="37143F3C"/>
    <w:rsid w:val="371602F8"/>
    <w:rsid w:val="37356EE3"/>
    <w:rsid w:val="3745704E"/>
    <w:rsid w:val="37D51AE2"/>
    <w:rsid w:val="37DD3745"/>
    <w:rsid w:val="38767A34"/>
    <w:rsid w:val="38876749"/>
    <w:rsid w:val="38877E93"/>
    <w:rsid w:val="38C64439"/>
    <w:rsid w:val="390908A8"/>
    <w:rsid w:val="393214EA"/>
    <w:rsid w:val="39890803"/>
    <w:rsid w:val="39DD5728"/>
    <w:rsid w:val="3B855AAA"/>
    <w:rsid w:val="3BB1294B"/>
    <w:rsid w:val="3C0B5D67"/>
    <w:rsid w:val="3C5D1E98"/>
    <w:rsid w:val="3CB054DF"/>
    <w:rsid w:val="3CED2359"/>
    <w:rsid w:val="3D3B56F0"/>
    <w:rsid w:val="3D3F6D5C"/>
    <w:rsid w:val="3D484FDF"/>
    <w:rsid w:val="3D603683"/>
    <w:rsid w:val="400C5122"/>
    <w:rsid w:val="40765EBD"/>
    <w:rsid w:val="41F044CA"/>
    <w:rsid w:val="42460C65"/>
    <w:rsid w:val="428909D6"/>
    <w:rsid w:val="42A46E9D"/>
    <w:rsid w:val="432F2D94"/>
    <w:rsid w:val="437D6AA5"/>
    <w:rsid w:val="437F6783"/>
    <w:rsid w:val="43817F51"/>
    <w:rsid w:val="43B9111D"/>
    <w:rsid w:val="440A5C0D"/>
    <w:rsid w:val="44704A22"/>
    <w:rsid w:val="44DD6689"/>
    <w:rsid w:val="450F5B41"/>
    <w:rsid w:val="4565330A"/>
    <w:rsid w:val="45714EB6"/>
    <w:rsid w:val="45F7424C"/>
    <w:rsid w:val="461A3E91"/>
    <w:rsid w:val="46224090"/>
    <w:rsid w:val="46853ACF"/>
    <w:rsid w:val="475C0FA6"/>
    <w:rsid w:val="47951841"/>
    <w:rsid w:val="47AB20D0"/>
    <w:rsid w:val="48207645"/>
    <w:rsid w:val="48797C16"/>
    <w:rsid w:val="48AE4FC8"/>
    <w:rsid w:val="49710DF4"/>
    <w:rsid w:val="498A51E1"/>
    <w:rsid w:val="49A01A81"/>
    <w:rsid w:val="49A01D61"/>
    <w:rsid w:val="4A101446"/>
    <w:rsid w:val="4A393D33"/>
    <w:rsid w:val="4A800BE6"/>
    <w:rsid w:val="4AEB75ED"/>
    <w:rsid w:val="4B6F10D1"/>
    <w:rsid w:val="4B840262"/>
    <w:rsid w:val="4BCA10CF"/>
    <w:rsid w:val="4BE13EB1"/>
    <w:rsid w:val="4C147838"/>
    <w:rsid w:val="4C26503F"/>
    <w:rsid w:val="4C3719EC"/>
    <w:rsid w:val="4C3E2673"/>
    <w:rsid w:val="4C8007C1"/>
    <w:rsid w:val="4D1A5886"/>
    <w:rsid w:val="4DE72B5F"/>
    <w:rsid w:val="4DEB45C9"/>
    <w:rsid w:val="4E126469"/>
    <w:rsid w:val="4E134754"/>
    <w:rsid w:val="4FD2570C"/>
    <w:rsid w:val="4FEC781B"/>
    <w:rsid w:val="50D435BF"/>
    <w:rsid w:val="50DA72B7"/>
    <w:rsid w:val="51C15289"/>
    <w:rsid w:val="51CB1213"/>
    <w:rsid w:val="51DB1DFE"/>
    <w:rsid w:val="527A093A"/>
    <w:rsid w:val="52980659"/>
    <w:rsid w:val="536270DB"/>
    <w:rsid w:val="536334D9"/>
    <w:rsid w:val="53656BCB"/>
    <w:rsid w:val="53C67EA4"/>
    <w:rsid w:val="53C94A70"/>
    <w:rsid w:val="53D104E9"/>
    <w:rsid w:val="53EF611B"/>
    <w:rsid w:val="541A08CF"/>
    <w:rsid w:val="5433572E"/>
    <w:rsid w:val="547C41CC"/>
    <w:rsid w:val="54C3347C"/>
    <w:rsid w:val="55557FBA"/>
    <w:rsid w:val="55F05A10"/>
    <w:rsid w:val="5656448B"/>
    <w:rsid w:val="5697183F"/>
    <w:rsid w:val="56BA6CDD"/>
    <w:rsid w:val="56CA5ABE"/>
    <w:rsid w:val="57466AAD"/>
    <w:rsid w:val="57540152"/>
    <w:rsid w:val="578E5A47"/>
    <w:rsid w:val="57911329"/>
    <w:rsid w:val="57AB585C"/>
    <w:rsid w:val="57AF7FA0"/>
    <w:rsid w:val="57D14A37"/>
    <w:rsid w:val="58324457"/>
    <w:rsid w:val="585E4277"/>
    <w:rsid w:val="5895471A"/>
    <w:rsid w:val="58F44C79"/>
    <w:rsid w:val="59260BAB"/>
    <w:rsid w:val="59677AF3"/>
    <w:rsid w:val="59741A40"/>
    <w:rsid w:val="59BC4850"/>
    <w:rsid w:val="59EA5111"/>
    <w:rsid w:val="5A6776CD"/>
    <w:rsid w:val="5A6B4386"/>
    <w:rsid w:val="5A7A5EC9"/>
    <w:rsid w:val="5AB17281"/>
    <w:rsid w:val="5AFD763E"/>
    <w:rsid w:val="5B2611B2"/>
    <w:rsid w:val="5B4453FA"/>
    <w:rsid w:val="5C913BB2"/>
    <w:rsid w:val="5CD4242F"/>
    <w:rsid w:val="5D575B14"/>
    <w:rsid w:val="5D5C1864"/>
    <w:rsid w:val="5D5F468B"/>
    <w:rsid w:val="5DB42C29"/>
    <w:rsid w:val="5E045D4D"/>
    <w:rsid w:val="5E135374"/>
    <w:rsid w:val="5E377234"/>
    <w:rsid w:val="5EBF27A1"/>
    <w:rsid w:val="607911FB"/>
    <w:rsid w:val="60B847DE"/>
    <w:rsid w:val="60E76E71"/>
    <w:rsid w:val="61011DAB"/>
    <w:rsid w:val="617213B6"/>
    <w:rsid w:val="61884C4E"/>
    <w:rsid w:val="61E27889"/>
    <w:rsid w:val="62356767"/>
    <w:rsid w:val="62B81178"/>
    <w:rsid w:val="62DF6292"/>
    <w:rsid w:val="631433A4"/>
    <w:rsid w:val="632F4517"/>
    <w:rsid w:val="6353619B"/>
    <w:rsid w:val="650C6EA7"/>
    <w:rsid w:val="654A5C21"/>
    <w:rsid w:val="65516FAF"/>
    <w:rsid w:val="65E816C2"/>
    <w:rsid w:val="66432D9C"/>
    <w:rsid w:val="66501015"/>
    <w:rsid w:val="665705F5"/>
    <w:rsid w:val="6744598B"/>
    <w:rsid w:val="6775760E"/>
    <w:rsid w:val="679D7BAE"/>
    <w:rsid w:val="67BD72EE"/>
    <w:rsid w:val="67D85BA9"/>
    <w:rsid w:val="689A4FD0"/>
    <w:rsid w:val="68E35789"/>
    <w:rsid w:val="69607D0D"/>
    <w:rsid w:val="699B7652"/>
    <w:rsid w:val="69D01BC4"/>
    <w:rsid w:val="6A382F62"/>
    <w:rsid w:val="6A7D6A23"/>
    <w:rsid w:val="6AF9681F"/>
    <w:rsid w:val="6BF46467"/>
    <w:rsid w:val="6BFB463A"/>
    <w:rsid w:val="6C2E7166"/>
    <w:rsid w:val="6CB247D7"/>
    <w:rsid w:val="6CB707AA"/>
    <w:rsid w:val="6E397487"/>
    <w:rsid w:val="6E4A7964"/>
    <w:rsid w:val="6EAF6B8C"/>
    <w:rsid w:val="6EC51C1E"/>
    <w:rsid w:val="6F185BD2"/>
    <w:rsid w:val="6F5B254F"/>
    <w:rsid w:val="6F740852"/>
    <w:rsid w:val="6F78387B"/>
    <w:rsid w:val="6F953302"/>
    <w:rsid w:val="6FA37815"/>
    <w:rsid w:val="6FA40F8F"/>
    <w:rsid w:val="6FB97868"/>
    <w:rsid w:val="6FE975EA"/>
    <w:rsid w:val="703A29B1"/>
    <w:rsid w:val="70A64653"/>
    <w:rsid w:val="70E17439"/>
    <w:rsid w:val="70E970D2"/>
    <w:rsid w:val="71243673"/>
    <w:rsid w:val="71696088"/>
    <w:rsid w:val="7184528E"/>
    <w:rsid w:val="718B55F7"/>
    <w:rsid w:val="71A07871"/>
    <w:rsid w:val="71CD20B4"/>
    <w:rsid w:val="720270F4"/>
    <w:rsid w:val="72396872"/>
    <w:rsid w:val="730C1CB4"/>
    <w:rsid w:val="735F6D3B"/>
    <w:rsid w:val="74E514C2"/>
    <w:rsid w:val="75052F05"/>
    <w:rsid w:val="751A5A51"/>
    <w:rsid w:val="75FC7210"/>
    <w:rsid w:val="7695220C"/>
    <w:rsid w:val="76EC53A7"/>
    <w:rsid w:val="774C220A"/>
    <w:rsid w:val="77541F3F"/>
    <w:rsid w:val="779C0EAC"/>
    <w:rsid w:val="77F131B3"/>
    <w:rsid w:val="788D60F9"/>
    <w:rsid w:val="78985463"/>
    <w:rsid w:val="78A0530C"/>
    <w:rsid w:val="78DF05B3"/>
    <w:rsid w:val="79C40A0A"/>
    <w:rsid w:val="79DD6C0C"/>
    <w:rsid w:val="7B024B7C"/>
    <w:rsid w:val="7B713AB0"/>
    <w:rsid w:val="7C5B7119"/>
    <w:rsid w:val="7C795A02"/>
    <w:rsid w:val="7E3314F0"/>
    <w:rsid w:val="7E3E3D08"/>
    <w:rsid w:val="7E4313B6"/>
    <w:rsid w:val="7E68251D"/>
    <w:rsid w:val="7E962AA1"/>
    <w:rsid w:val="7EB0669D"/>
    <w:rsid w:val="7EC74D9E"/>
    <w:rsid w:val="7ED350D7"/>
    <w:rsid w:val="7EDA1D79"/>
    <w:rsid w:val="7F5D145A"/>
    <w:rsid w:val="7FEA1C99"/>
    <w:rsid w:val="7FF6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qFormat/>
    <w:uiPriority w:val="0"/>
    <w:pPr>
      <w:ind w:firstLine="420"/>
    </w:pPr>
  </w:style>
  <w:style w:type="paragraph" w:styleId="13">
    <w:name w:val="Body Text"/>
    <w:basedOn w:val="1"/>
    <w:link w:val="91"/>
    <w:qFormat/>
    <w:uiPriority w:val="0"/>
    <w:pPr>
      <w:spacing w:after="120"/>
    </w:pPr>
  </w:style>
  <w:style w:type="paragraph" w:styleId="14">
    <w:name w:val="Body Text Indent"/>
    <w:basedOn w:val="1"/>
    <w:qFormat/>
    <w:uiPriority w:val="0"/>
    <w:pPr>
      <w:spacing w:line="360" w:lineRule="exact"/>
      <w:ind w:firstLine="480"/>
    </w:pPr>
    <w:rPr>
      <w:sz w:val="24"/>
    </w:rPr>
  </w:style>
  <w:style w:type="paragraph" w:styleId="15">
    <w:name w:val="toc 5"/>
    <w:basedOn w:val="1"/>
    <w:next w:val="1"/>
    <w:unhideWhenUsed/>
    <w:qFormat/>
    <w:uiPriority w:val="39"/>
    <w:pPr>
      <w:ind w:left="1680" w:leftChars="800"/>
    </w:pPr>
  </w:style>
  <w:style w:type="paragraph" w:styleId="16">
    <w:name w:val="toc 3"/>
    <w:basedOn w:val="1"/>
    <w:next w:val="1"/>
    <w:unhideWhenUsed/>
    <w:qFormat/>
    <w:uiPriority w:val="39"/>
    <w:pPr>
      <w:ind w:left="840" w:leftChars="400"/>
    </w:pPr>
  </w:style>
  <w:style w:type="paragraph" w:styleId="17">
    <w:name w:val="toc 8"/>
    <w:basedOn w:val="1"/>
    <w:next w:val="1"/>
    <w:unhideWhenUsed/>
    <w:qFormat/>
    <w:uiPriority w:val="0"/>
    <w:pPr>
      <w:ind w:left="2940" w:leftChars="1400"/>
    </w:pPr>
  </w:style>
  <w:style w:type="paragraph" w:styleId="18">
    <w:name w:val="Balloon Text"/>
    <w:basedOn w:val="1"/>
    <w:link w:val="50"/>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ind w:left="2100" w:leftChars="1000"/>
    </w:p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0"/>
    <w:pPr>
      <w:ind w:left="3360" w:leftChars="1600"/>
    </w:pPr>
  </w:style>
  <w:style w:type="paragraph" w:styleId="28">
    <w:name w:val="Normal (Web)"/>
    <w:basedOn w:val="1"/>
    <w:semiHidden/>
    <w:unhideWhenUsed/>
    <w:qFormat/>
    <w:uiPriority w:val="99"/>
    <w:pPr>
      <w:spacing w:beforeAutospacing="1" w:afterAutospacing="1"/>
      <w:jc w:val="left"/>
    </w:pPr>
    <w:rPr>
      <w:kern w:val="0"/>
      <w:sz w:val="24"/>
    </w:rPr>
  </w:style>
  <w:style w:type="paragraph" w:styleId="29">
    <w:name w:val="Title"/>
    <w:basedOn w:val="1"/>
    <w:link w:val="53"/>
    <w:qFormat/>
    <w:uiPriority w:val="0"/>
    <w:pPr>
      <w:spacing w:before="240" w:after="60"/>
      <w:jc w:val="center"/>
      <w:outlineLvl w:val="0"/>
    </w:pPr>
    <w:rPr>
      <w:rFonts w:ascii="Arial" w:hAnsi="Arial" w:cs="Arial"/>
      <w:b/>
      <w:bCs/>
      <w:sz w:val="32"/>
      <w:szCs w:val="32"/>
    </w:rPr>
  </w:style>
  <w:style w:type="paragraph" w:styleId="30">
    <w:name w:val="Body Text First Indent 2"/>
    <w:basedOn w:val="14"/>
    <w:unhideWhenUsed/>
    <w:qFormat/>
    <w:uiPriority w:val="99"/>
    <w:pPr>
      <w:ind w:firstLine="420" w:firstLineChars="20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标题 9 字符"/>
    <w:link w:val="10"/>
    <w:qFormat/>
    <w:uiPriority w:val="0"/>
    <w:rPr>
      <w:rFonts w:ascii="Arial" w:hAnsi="Arial" w:eastAsia="黑体" w:cs="Times New Roman"/>
      <w:szCs w:val="21"/>
    </w:rPr>
  </w:style>
  <w:style w:type="character" w:customStyle="1" w:styleId="48">
    <w:name w:val="页眉 字符"/>
    <w:link w:val="20"/>
    <w:qFormat/>
    <w:uiPriority w:val="99"/>
    <w:rPr>
      <w:rFonts w:ascii="Times New Roman" w:hAnsi="Times New Roman" w:eastAsia="宋体" w:cs="Times New Roman"/>
      <w:sz w:val="18"/>
      <w:szCs w:val="18"/>
    </w:rPr>
  </w:style>
  <w:style w:type="character" w:customStyle="1" w:styleId="49">
    <w:name w:val="页脚 字符"/>
    <w:link w:val="19"/>
    <w:qFormat/>
    <w:uiPriority w:val="99"/>
    <w:rPr>
      <w:rFonts w:ascii="宋体" w:hAnsi="Times New Roman" w:eastAsia="宋体" w:cs="Times New Roman"/>
      <w:sz w:val="18"/>
      <w:szCs w:val="18"/>
    </w:rPr>
  </w:style>
  <w:style w:type="character" w:customStyle="1" w:styleId="50">
    <w:name w:val="批注框文本 字符"/>
    <w:link w:val="18"/>
    <w:semiHidden/>
    <w:qFormat/>
    <w:uiPriority w:val="99"/>
    <w:rPr>
      <w:sz w:val="18"/>
      <w:szCs w:val="18"/>
    </w:rPr>
  </w:style>
  <w:style w:type="paragraph" w:customStyle="1" w:styleId="51">
    <w:name w:val="引用1"/>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9"/>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3"/>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customStyle="1" w:styleId="191">
    <w:name w:val="占位符文本1"/>
    <w:basedOn w:val="33"/>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3"/>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wrap="around"/>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3"/>
    <w:qFormat/>
    <w:uiPriority w:val="0"/>
    <w:rPr>
      <w:rFonts w:ascii="黑体" w:eastAsia="黑体"/>
      <w:spacing w:val="85"/>
      <w:w w:val="100"/>
      <w:position w:val="3"/>
      <w:sz w:val="28"/>
      <w:szCs w:val="28"/>
    </w:rPr>
  </w:style>
  <w:style w:type="paragraph" w:customStyle="1" w:styleId="235">
    <w:name w:val="目次、标准名称标题"/>
    <w:basedOn w:val="1"/>
    <w:next w:val="23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6">
    <w:name w:val="段"/>
    <w:link w:val="2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7">
    <w:name w:val="前言、引言标题"/>
    <w:next w:val="23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0">
    <w:name w:val="一级条标题"/>
    <w:next w:val="236"/>
    <w:link w:val="257"/>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1">
    <w:name w:val="章标题"/>
    <w:next w:val="236"/>
    <w:qFormat/>
    <w:uiPriority w:val="0"/>
    <w:pPr>
      <w:numPr>
        <w:ilvl w:val="0"/>
        <w:numId w:val="3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2">
    <w:name w:val="正文图标题"/>
    <w:next w:val="236"/>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43">
    <w:name w:val="二级条标题"/>
    <w:basedOn w:val="240"/>
    <w:next w:val="236"/>
    <w:qFormat/>
    <w:uiPriority w:val="0"/>
    <w:pPr>
      <w:numPr>
        <w:ilvl w:val="2"/>
      </w:numPr>
      <w:spacing w:before="50" w:after="50"/>
      <w:outlineLvl w:val="3"/>
    </w:pPr>
  </w:style>
  <w:style w:type="paragraph" w:customStyle="1" w:styleId="244">
    <w:name w:val="三级条标题"/>
    <w:basedOn w:val="243"/>
    <w:next w:val="236"/>
    <w:qFormat/>
    <w:uiPriority w:val="0"/>
    <w:pPr>
      <w:numPr>
        <w:ilvl w:val="0"/>
        <w:numId w:val="0"/>
      </w:numPr>
      <w:outlineLvl w:val="4"/>
    </w:pPr>
  </w:style>
  <w:style w:type="paragraph" w:customStyle="1" w:styleId="245">
    <w:name w:val="字母编号列项（一级）"/>
    <w:qFormat/>
    <w:uiPriority w:val="0"/>
    <w:pPr>
      <w:numPr>
        <w:ilvl w:val="0"/>
        <w:numId w:val="33"/>
      </w:numPr>
      <w:ind w:hanging="420"/>
      <w:jc w:val="both"/>
    </w:pPr>
    <w:rPr>
      <w:rFonts w:ascii="宋体" w:hAnsi="宋体" w:eastAsia="宋体" w:cs="Times New Roman"/>
      <w:sz w:val="21"/>
      <w:lang w:val="en-US" w:eastAsia="zh-CN" w:bidi="ar-SA"/>
    </w:rPr>
  </w:style>
  <w:style w:type="paragraph" w:customStyle="1" w:styleId="246">
    <w:name w:val="注：（正文）"/>
    <w:basedOn w:val="247"/>
    <w:next w:val="236"/>
    <w:qFormat/>
    <w:uiPriority w:val="0"/>
    <w:pPr>
      <w:numPr>
        <w:ilvl w:val="0"/>
        <w:numId w:val="34"/>
      </w:numPr>
    </w:pPr>
  </w:style>
  <w:style w:type="paragraph" w:customStyle="1" w:styleId="247">
    <w:name w:val="注："/>
    <w:next w:val="236"/>
    <w:link w:val="258"/>
    <w:qFormat/>
    <w:uiPriority w:val="0"/>
    <w:pPr>
      <w:widowControl w:val="0"/>
      <w:numPr>
        <w:ilvl w:val="0"/>
        <w:numId w:val="35"/>
      </w:numPr>
      <w:autoSpaceDE w:val="0"/>
      <w:autoSpaceDN w:val="0"/>
      <w:jc w:val="both"/>
    </w:pPr>
    <w:rPr>
      <w:rFonts w:ascii="宋体" w:hAnsi="Times New Roman" w:eastAsia="宋体" w:cs="Times New Roman"/>
      <w:sz w:val="18"/>
      <w:szCs w:val="18"/>
      <w:lang w:val="en-US" w:eastAsia="zh-CN" w:bidi="ar-SA"/>
    </w:rPr>
  </w:style>
  <w:style w:type="paragraph" w:customStyle="1" w:styleId="248">
    <w:name w:val="数字编号列项（二级）"/>
    <w:qFormat/>
    <w:uiPriority w:val="0"/>
    <w:pPr>
      <w:numPr>
        <w:ilvl w:val="1"/>
        <w:numId w:val="33"/>
      </w:numPr>
      <w:jc w:val="both"/>
    </w:pPr>
    <w:rPr>
      <w:rFonts w:ascii="宋体" w:hAnsi="Times New Roman" w:eastAsia="宋体" w:cs="Times New Roman"/>
      <w:sz w:val="21"/>
      <w:lang w:val="en-US" w:eastAsia="zh-CN" w:bidi="ar-SA"/>
    </w:rPr>
  </w:style>
  <w:style w:type="paragraph" w:customStyle="1" w:styleId="249">
    <w:name w:val="附录章标题"/>
    <w:next w:val="236"/>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0">
    <w:name w:val="附录一级条标题"/>
    <w:basedOn w:val="249"/>
    <w:next w:val="236"/>
    <w:qFormat/>
    <w:uiPriority w:val="0"/>
    <w:pPr>
      <w:numPr>
        <w:ilvl w:val="2"/>
      </w:numPr>
      <w:autoSpaceDN w:val="0"/>
      <w:spacing w:before="50" w:beforeLines="50" w:after="50" w:afterLines="50"/>
      <w:outlineLvl w:val="2"/>
    </w:pPr>
  </w:style>
  <w:style w:type="paragraph" w:customStyle="1" w:styleId="251">
    <w:name w:val="附录二级条标题"/>
    <w:basedOn w:val="1"/>
    <w:next w:val="236"/>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52">
    <w:name w:val="附录图标题"/>
    <w:basedOn w:val="1"/>
    <w:next w:val="236"/>
    <w:qFormat/>
    <w:uiPriority w:val="0"/>
    <w:pPr>
      <w:numPr>
        <w:ilvl w:val="1"/>
        <w:numId w:val="36"/>
      </w:numPr>
      <w:tabs>
        <w:tab w:val="left" w:pos="363"/>
      </w:tabs>
      <w:spacing w:before="50" w:beforeLines="50" w:after="50" w:afterLines="50"/>
      <w:ind w:left="0" w:firstLine="0"/>
      <w:jc w:val="center"/>
    </w:pPr>
    <w:rPr>
      <w:rFonts w:ascii="黑体" w:eastAsia="黑体"/>
    </w:rPr>
  </w:style>
  <w:style w:type="character" w:customStyle="1" w:styleId="253">
    <w:name w:val="段 Char"/>
    <w:link w:val="236"/>
    <w:qFormat/>
    <w:uiPriority w:val="0"/>
    <w:rPr>
      <w:rFonts w:ascii="宋体" w:hAnsi="Times New Roman" w:eastAsia="宋体" w:cs="Times New Roman"/>
      <w:sz w:val="21"/>
      <w:lang w:val="en-US" w:eastAsia="zh-CN" w:bidi="ar-SA"/>
    </w:rPr>
  </w:style>
  <w:style w:type="character" w:customStyle="1" w:styleId="254">
    <w:name w:val="fontstyle01"/>
    <w:basedOn w:val="33"/>
    <w:qFormat/>
    <w:uiPriority w:val="0"/>
    <w:rPr>
      <w:rFonts w:ascii="黑体" w:hAnsi="宋体" w:eastAsia="黑体" w:cs="黑体"/>
      <w:color w:val="000000"/>
      <w:sz w:val="22"/>
      <w:szCs w:val="22"/>
    </w:rPr>
  </w:style>
  <w:style w:type="character" w:customStyle="1" w:styleId="255">
    <w:name w:val="fontstyle21"/>
    <w:basedOn w:val="33"/>
    <w:qFormat/>
    <w:uiPriority w:val="0"/>
    <w:rPr>
      <w:rFonts w:ascii="Arial" w:hAnsi="Arial" w:cs="Arial"/>
      <w:color w:val="000000"/>
      <w:sz w:val="22"/>
      <w:szCs w:val="22"/>
    </w:rPr>
  </w:style>
  <w:style w:type="character" w:customStyle="1" w:styleId="256">
    <w:name w:val="fontstyle31"/>
    <w:basedOn w:val="33"/>
    <w:qFormat/>
    <w:uiPriority w:val="0"/>
    <w:rPr>
      <w:rFonts w:hint="eastAsia" w:ascii="宋体" w:hAnsi="宋体" w:eastAsia="宋体" w:cs="宋体"/>
      <w:color w:val="000000"/>
      <w:sz w:val="22"/>
      <w:szCs w:val="22"/>
    </w:rPr>
  </w:style>
  <w:style w:type="character" w:customStyle="1" w:styleId="257">
    <w:name w:val="一级条标题 Char"/>
    <w:link w:val="240"/>
    <w:qFormat/>
    <w:uiPriority w:val="0"/>
    <w:rPr>
      <w:rFonts w:ascii="黑体" w:hAnsi="Times New Roman" w:eastAsia="黑体" w:cs="Times New Roman"/>
      <w:sz w:val="21"/>
      <w:szCs w:val="21"/>
      <w:lang w:val="en-US" w:eastAsia="zh-CN" w:bidi="ar-SA"/>
    </w:rPr>
  </w:style>
  <w:style w:type="character" w:customStyle="1" w:styleId="258">
    <w:name w:val="注： Char"/>
    <w:link w:val="247"/>
    <w:qFormat/>
    <w:uiPriority w:val="0"/>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6AF9988B424574BECC40D890C283F5"/>
        <w:style w:val=""/>
        <w:category>
          <w:name w:val="常规"/>
          <w:gallery w:val="placeholder"/>
        </w:category>
        <w:types>
          <w:type w:val="bbPlcHdr"/>
        </w:types>
        <w:behaviors>
          <w:behavior w:val="content"/>
        </w:behaviors>
        <w:description w:val=""/>
        <w:guid w:val="{A1901293-304F-4582-AB09-CF063132D9E3}"/>
      </w:docPartPr>
      <w:docPartBody>
        <w:p>
          <w:pPr>
            <w:pStyle w:val="5"/>
          </w:pPr>
          <w:r>
            <w:rPr>
              <w:rStyle w:val="4"/>
              <w:rFonts w:hint="eastAsia"/>
            </w:rPr>
            <w:t>单击或点击此处输入文字。</w:t>
          </w:r>
        </w:p>
      </w:docPartBody>
    </w:docPart>
    <w:docPart>
      <w:docPartPr>
        <w:name w:val="0EC078EDBDCE42F5B7581585807708C3"/>
        <w:style w:val=""/>
        <w:category>
          <w:name w:val="常规"/>
          <w:gallery w:val="placeholder"/>
        </w:category>
        <w:types>
          <w:type w:val="bbPlcHdr"/>
        </w:types>
        <w:behaviors>
          <w:behavior w:val="content"/>
        </w:behaviors>
        <w:description w:val=""/>
        <w:guid w:val="{A32E6A7B-575B-4C1A-80D2-D253A8BB9F0E}"/>
      </w:docPartPr>
      <w:docPartBody>
        <w:p>
          <w:pPr>
            <w:pStyle w:val="6"/>
          </w:pPr>
          <w:r>
            <w:rPr>
              <w:rStyle w:val="4"/>
              <w:rFonts w:hint="eastAsia"/>
            </w:rPr>
            <w:t>选择一项。</w:t>
          </w:r>
        </w:p>
      </w:docPartBody>
    </w:docPart>
    <w:docPart>
      <w:docPartPr>
        <w:name w:val="5402E86B07074ED5A038BD4D3322E4DB"/>
        <w:style w:val=""/>
        <w:category>
          <w:name w:val="常规"/>
          <w:gallery w:val="placeholder"/>
        </w:category>
        <w:types>
          <w:type w:val="bbPlcHdr"/>
        </w:types>
        <w:behaviors>
          <w:behavior w:val="content"/>
        </w:behaviors>
        <w:description w:val=""/>
        <w:guid w:val="{A1FEFE89-377D-43BA-8EA4-AE740902F3E1}"/>
      </w:docPartPr>
      <w:docPartBody>
        <w:p>
          <w:pPr>
            <w:pStyle w:val="7"/>
          </w:pPr>
          <w:r>
            <w:rPr>
              <w:rFonts w:hint="eastAsia"/>
            </w:rPr>
            <w:t>单击或点击此处输入文字。</w:t>
          </w:r>
        </w:p>
      </w:docPartBody>
    </w:docPart>
    <w:docPart>
      <w:docPartPr>
        <w:name w:val="ED9BDBD3FCC54C0C9B5E04D572B4B651"/>
        <w:style w:val=""/>
        <w:category>
          <w:name w:val="常规"/>
          <w:gallery w:val="placeholder"/>
        </w:category>
        <w:types>
          <w:type w:val="bbPlcHdr"/>
        </w:types>
        <w:behaviors>
          <w:behavior w:val="content"/>
        </w:behaviors>
        <w:description w:val=""/>
        <w:guid w:val="{1E8CE685-18B5-4BF9-85F0-73A995640285}"/>
      </w:docPartPr>
      <w:docPartBody>
        <w:p>
          <w:pPr>
            <w:pStyle w:val="8"/>
          </w:pPr>
          <w:r>
            <w:rPr>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72"/>
    <w:rsid w:val="002166C1"/>
    <w:rsid w:val="00231502"/>
    <w:rsid w:val="003177B8"/>
    <w:rsid w:val="00371E0F"/>
    <w:rsid w:val="004129F0"/>
    <w:rsid w:val="00442845"/>
    <w:rsid w:val="00554D77"/>
    <w:rsid w:val="005E7C55"/>
    <w:rsid w:val="00636DD6"/>
    <w:rsid w:val="00670061"/>
    <w:rsid w:val="006B14FF"/>
    <w:rsid w:val="007900E3"/>
    <w:rsid w:val="007C60C6"/>
    <w:rsid w:val="007E67CF"/>
    <w:rsid w:val="00825978"/>
    <w:rsid w:val="0088538E"/>
    <w:rsid w:val="009B6DD4"/>
    <w:rsid w:val="00A03072"/>
    <w:rsid w:val="00A372DC"/>
    <w:rsid w:val="00B45DEB"/>
    <w:rsid w:val="00DA55C9"/>
    <w:rsid w:val="00DE28C6"/>
    <w:rsid w:val="00E63D8E"/>
    <w:rsid w:val="00FB3BAF"/>
    <w:rsid w:val="00FE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FE6AF9988B424574BECC40D890C283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C078EDBDCE42F5B7581585807708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402E86B07074ED5A038BD4D3322E4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D9BDBD3FCC54C0C9B5E04D572B4B65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489C8-5FC2-400A-8C4D-8A72E399B788}">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23</Pages>
  <Words>10328</Words>
  <Characters>10596</Characters>
  <Lines>98</Lines>
  <Paragraphs>27</Paragraphs>
  <TotalTime>53</TotalTime>
  <ScaleCrop>false</ScaleCrop>
  <LinksUpToDate>false</LinksUpToDate>
  <CharactersWithSpaces>10862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2022-08-24T03:12:00Z</dcterms:created>
  <dc:creator>微软用户</dc:creator>
  <dc:description>&lt;config cover="true" show_menu="true" version="1.0.0" doctype="SDKXY"&gt;_x000d_
&lt;/config&gt;</dc:description>
  <cp:lastModifiedBy>王凤</cp:lastModifiedBy>
  <cp:lastPrinted>2021-02-02T08:22:00Z</cp:lastPrinted>
  <dcterms:modified xsi:type="dcterms:W3CDTF">2022-09-09T07:16:36Z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CF216F314D9E422DAC16699163BA9894</vt:lpwstr>
  </property>
</Properties>
</file>