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ascii="黑体" w:eastAsia="黑体"/>
          <w:b/>
          <w:color w:val="auto"/>
          <w:sz w:val="36"/>
          <w:highlight w:val="none"/>
        </w:rPr>
      </w:pPr>
      <w:r>
        <w:rPr>
          <w:rFonts w:hint="eastAsia" w:ascii="黑体" w:eastAsia="黑体"/>
          <w:b/>
          <w:color w:val="auto"/>
          <w:sz w:val="36"/>
          <w:highlight w:val="none"/>
        </w:rPr>
        <w:t>《高强度高塑性球墨铸铁件》团体标准编制说明</w:t>
      </w:r>
    </w:p>
    <w:p>
      <w:pPr>
        <w:spacing w:line="400" w:lineRule="exact"/>
        <w:jc w:val="center"/>
        <w:rPr>
          <w:rFonts w:ascii="黑体" w:hAnsi="宋体" w:eastAsia="黑体"/>
          <w:color w:val="auto"/>
          <w:szCs w:val="28"/>
          <w:highlight w:val="none"/>
        </w:rPr>
      </w:pPr>
      <w:r>
        <w:rPr>
          <w:rFonts w:hint="eastAsia" w:ascii="黑体" w:eastAsia="黑体"/>
          <w:b/>
          <w:color w:val="auto"/>
          <w:sz w:val="36"/>
          <w:highlight w:val="none"/>
        </w:rPr>
        <w:t>(</w:t>
      </w:r>
      <w:r>
        <w:rPr>
          <w:rFonts w:hint="eastAsia" w:ascii="黑体" w:eastAsia="黑体"/>
          <w:color w:val="auto"/>
          <w:sz w:val="36"/>
          <w:highlight w:val="none"/>
          <w:u w:val="single"/>
        </w:rPr>
        <w:t>征求意见稿</w:t>
      </w:r>
      <w:r>
        <w:rPr>
          <w:rFonts w:ascii="黑体" w:eastAsia="黑体"/>
          <w:color w:val="auto"/>
          <w:sz w:val="36"/>
          <w:highlight w:val="none"/>
          <w:u w:val="single"/>
        </w:rPr>
        <w:t xml:space="preserve"> </w:t>
      </w:r>
      <w:r>
        <w:rPr>
          <w:rFonts w:hint="eastAsia" w:ascii="黑体" w:eastAsia="黑体"/>
          <w:b/>
          <w:color w:val="auto"/>
          <w:sz w:val="36"/>
          <w:highlight w:val="none"/>
        </w:rPr>
        <w:t>)</w:t>
      </w:r>
    </w:p>
    <w:p>
      <w:pPr>
        <w:spacing w:line="320" w:lineRule="exact"/>
        <w:rPr>
          <w:rFonts w:ascii="黑体" w:hAnsi="宋体" w:eastAsia="黑体"/>
          <w:color w:val="auto"/>
          <w:sz w:val="24"/>
          <w:szCs w:val="24"/>
          <w:highlight w:val="none"/>
        </w:rPr>
      </w:pPr>
    </w:p>
    <w:p>
      <w:pPr>
        <w:spacing w:line="320" w:lineRule="exact"/>
        <w:ind w:firstLine="482" w:firstLineChars="200"/>
        <w:rPr>
          <w:rFonts w:ascii="黑体" w:hAnsi="宋体" w:eastAsia="黑体"/>
          <w:b/>
          <w:color w:val="auto"/>
          <w:sz w:val="24"/>
          <w:szCs w:val="24"/>
          <w:highlight w:val="none"/>
        </w:rPr>
      </w:pPr>
    </w:p>
    <w:p>
      <w:pPr>
        <w:spacing w:line="320" w:lineRule="exact"/>
        <w:ind w:firstLine="482" w:firstLineChars="200"/>
        <w:rPr>
          <w:rFonts w:ascii="黑体" w:hAnsi="宋体" w:eastAsia="黑体"/>
          <w:b/>
          <w:color w:val="auto"/>
          <w:sz w:val="24"/>
          <w:szCs w:val="24"/>
          <w:highlight w:val="none"/>
        </w:rPr>
      </w:pPr>
      <w:r>
        <w:rPr>
          <w:rFonts w:hint="eastAsia" w:ascii="黑体" w:hAnsi="宋体" w:eastAsia="黑体"/>
          <w:b/>
          <w:color w:val="auto"/>
          <w:sz w:val="24"/>
          <w:szCs w:val="24"/>
          <w:highlight w:val="none"/>
        </w:rPr>
        <w:t>1.任务来源、工作简要过程、主要参加单位和工作组成员等</w:t>
      </w:r>
    </w:p>
    <w:p>
      <w:pPr>
        <w:spacing w:before="156" w:beforeLines="50" w:after="156" w:afterLines="50" w:line="440" w:lineRule="exact"/>
        <w:ind w:firstLine="480" w:firstLineChars="200"/>
        <w:outlineLvl w:val="0"/>
        <w:rPr>
          <w:rFonts w:ascii="黑体" w:hAnsi="黑体" w:eastAsia="黑体"/>
          <w:color w:val="auto"/>
          <w:sz w:val="24"/>
          <w:szCs w:val="24"/>
          <w:highlight w:val="none"/>
        </w:rPr>
      </w:pPr>
      <w:r>
        <w:rPr>
          <w:rFonts w:hint="eastAsia" w:ascii="黑体" w:hAnsi="黑体" w:eastAsia="黑体"/>
          <w:color w:val="auto"/>
          <w:sz w:val="24"/>
          <w:szCs w:val="24"/>
          <w:highlight w:val="none"/>
        </w:rPr>
        <w:t>1）任务来源</w:t>
      </w:r>
    </w:p>
    <w:p>
      <w:pPr>
        <w:spacing w:before="156" w:beforeLines="50" w:after="156" w:afterLines="50" w:line="440" w:lineRule="exact"/>
        <w:ind w:firstLine="480" w:firstLineChars="200"/>
        <w:outlineLvl w:val="0"/>
        <w:rPr>
          <w:rFonts w:ascii="黑体" w:hAnsi="黑体" w:eastAsia="黑体"/>
          <w:color w:val="auto"/>
          <w:sz w:val="24"/>
          <w:szCs w:val="24"/>
          <w:highlight w:val="none"/>
        </w:rPr>
      </w:pPr>
      <w:r>
        <w:rPr>
          <w:rFonts w:hAnsi="宋体" w:eastAsia="宋体"/>
          <w:color w:val="auto"/>
          <w:sz w:val="24"/>
          <w:highlight w:val="none"/>
        </w:rPr>
        <w:t>2018年初</w:t>
      </w:r>
      <w:r>
        <w:rPr>
          <w:rFonts w:hint="eastAsia" w:hAnsi="宋体" w:eastAsia="宋体"/>
          <w:color w:val="auto"/>
          <w:sz w:val="24"/>
          <w:highlight w:val="none"/>
        </w:rPr>
        <w:t>广西</w:t>
      </w:r>
      <w:r>
        <w:rPr>
          <w:rFonts w:hAnsi="宋体" w:eastAsia="宋体"/>
          <w:color w:val="auto"/>
          <w:sz w:val="24"/>
          <w:highlight w:val="none"/>
        </w:rPr>
        <w:t>玉柴机器股份有限公司提出申请</w:t>
      </w:r>
      <w:r>
        <w:rPr>
          <w:rFonts w:hint="eastAsia" w:hAnsi="宋体" w:eastAsia="宋体"/>
          <w:color w:val="auto"/>
          <w:sz w:val="24"/>
          <w:highlight w:val="none"/>
        </w:rPr>
        <w:t>，</w:t>
      </w:r>
      <w:r>
        <w:rPr>
          <w:rFonts w:hAnsi="宋体" w:eastAsia="宋体"/>
          <w:color w:val="auto"/>
          <w:sz w:val="24"/>
          <w:highlight w:val="none"/>
        </w:rPr>
        <w:t>中国铸造协会标准</w:t>
      </w:r>
      <w:r>
        <w:rPr>
          <w:rFonts w:hint="eastAsia" w:hAnsi="宋体" w:eastAsia="宋体"/>
          <w:color w:val="auto"/>
          <w:sz w:val="24"/>
          <w:highlight w:val="none"/>
        </w:rPr>
        <w:t>工作</w:t>
      </w:r>
      <w:r>
        <w:rPr>
          <w:rFonts w:hAnsi="宋体" w:eastAsia="宋体"/>
          <w:color w:val="auto"/>
          <w:sz w:val="24"/>
          <w:highlight w:val="none"/>
        </w:rPr>
        <w:t>委员会立项，2018年3月由中铸协正式批准</w:t>
      </w:r>
      <w:r>
        <w:rPr>
          <w:rFonts w:hint="eastAsia" w:hAnsi="宋体" w:eastAsia="宋体"/>
          <w:color w:val="auto"/>
          <w:sz w:val="24"/>
          <w:highlight w:val="none"/>
        </w:rPr>
        <w:t>，</w:t>
      </w:r>
      <w:r>
        <w:rPr>
          <w:rFonts w:hAnsi="宋体" w:eastAsia="宋体"/>
          <w:color w:val="auto"/>
          <w:sz w:val="24"/>
          <w:highlight w:val="none"/>
        </w:rPr>
        <w:t>中铸协标（2018）5号文件：“关于中国铸造协会铸铁工作委员会相关团体标准制修订的批复”</w:t>
      </w:r>
      <w:r>
        <w:rPr>
          <w:rFonts w:hint="eastAsia" w:hAnsi="宋体" w:eastAsia="宋体"/>
          <w:color w:val="auto"/>
          <w:sz w:val="24"/>
          <w:highlight w:val="none"/>
        </w:rPr>
        <w:t>编制</w:t>
      </w:r>
      <w:r>
        <w:rPr>
          <w:rFonts w:hint="eastAsia" w:hAnsi="宋体"/>
          <w:color w:val="auto"/>
          <w:highlight w:val="none"/>
        </w:rPr>
        <w:t>《高强度高塑性球墨铸铁件》（</w:t>
      </w:r>
      <w:r>
        <w:rPr>
          <w:rFonts w:hAnsi="宋体"/>
          <w:color w:val="auto"/>
          <w:highlight w:val="none"/>
        </w:rPr>
        <w:t>T/C</w:t>
      </w:r>
      <w:r>
        <w:rPr>
          <w:color w:val="auto"/>
          <w:highlight w:val="none"/>
        </w:rPr>
        <w:t>FA 010201.2 -- 201×</w:t>
      </w:r>
      <w:r>
        <w:rPr>
          <w:rFonts w:hint="eastAsia"/>
          <w:color w:val="auto"/>
          <w:highlight w:val="none"/>
        </w:rPr>
        <w:t>）</w:t>
      </w:r>
      <w:r>
        <w:rPr>
          <w:rFonts w:hint="eastAsia" w:hAnsi="宋体"/>
          <w:color w:val="auto"/>
          <w:highlight w:val="none"/>
        </w:rPr>
        <w:t>团体标准</w:t>
      </w:r>
      <w:r>
        <w:rPr>
          <w:rFonts w:hAnsi="宋体" w:eastAsia="宋体"/>
          <w:color w:val="auto"/>
          <w:sz w:val="24"/>
          <w:highlight w:val="none"/>
        </w:rPr>
        <w:t>。</w:t>
      </w:r>
      <w:r>
        <w:rPr>
          <w:rFonts w:hint="eastAsia" w:hAnsi="宋体" w:eastAsia="宋体"/>
          <w:color w:val="auto"/>
          <w:sz w:val="24"/>
          <w:highlight w:val="none"/>
        </w:rPr>
        <w:t>本标准主要起草单位：广西玉柴机器配件制造有限公司、广西</w:t>
      </w:r>
      <w:r>
        <w:rPr>
          <w:rFonts w:hAnsi="宋体" w:eastAsia="宋体"/>
          <w:color w:val="auto"/>
          <w:sz w:val="24"/>
          <w:highlight w:val="none"/>
        </w:rPr>
        <w:t>玉柴机器股份有限公司</w:t>
      </w:r>
      <w:r>
        <w:rPr>
          <w:rFonts w:hint="eastAsia" w:hAnsi="宋体" w:eastAsia="宋体"/>
          <w:color w:val="auto"/>
          <w:sz w:val="24"/>
          <w:highlight w:val="none"/>
        </w:rPr>
        <w:t>。计划完成时间调整为：2021年。</w:t>
      </w:r>
    </w:p>
    <w:p>
      <w:pPr>
        <w:spacing w:before="156" w:beforeLines="50" w:after="156" w:afterLines="50" w:line="440" w:lineRule="exact"/>
        <w:ind w:firstLine="480" w:firstLineChars="200"/>
        <w:outlineLvl w:val="0"/>
        <w:rPr>
          <w:rFonts w:ascii="黑体" w:hAnsi="黑体" w:eastAsia="黑体"/>
          <w:color w:val="auto"/>
          <w:sz w:val="24"/>
          <w:szCs w:val="24"/>
          <w:highlight w:val="none"/>
        </w:rPr>
      </w:pPr>
      <w:r>
        <w:rPr>
          <w:rFonts w:hint="eastAsia" w:ascii="黑体" w:hAnsi="黑体" w:eastAsia="黑体"/>
          <w:color w:val="auto"/>
          <w:sz w:val="24"/>
          <w:szCs w:val="24"/>
          <w:highlight w:val="none"/>
        </w:rPr>
        <w:t>2</w:t>
      </w:r>
      <w:r>
        <w:rPr>
          <w:rFonts w:ascii="黑体" w:hAnsi="黑体" w:eastAsia="黑体"/>
          <w:color w:val="auto"/>
          <w:sz w:val="24"/>
          <w:szCs w:val="24"/>
          <w:highlight w:val="none"/>
        </w:rPr>
        <w:t>)</w:t>
      </w:r>
      <w:r>
        <w:rPr>
          <w:rFonts w:hint="eastAsia" w:ascii="黑体" w:hAnsi="黑体" w:eastAsia="黑体"/>
          <w:color w:val="auto"/>
          <w:sz w:val="24"/>
          <w:szCs w:val="24"/>
          <w:highlight w:val="none"/>
        </w:rPr>
        <w:t>工作简要过程</w:t>
      </w:r>
    </w:p>
    <w:p>
      <w:pPr>
        <w:spacing w:before="156" w:beforeLines="50" w:after="156" w:afterLines="50" w:line="440" w:lineRule="exact"/>
        <w:ind w:firstLine="480" w:firstLineChars="200"/>
        <w:outlineLvl w:val="0"/>
        <w:rPr>
          <w:rFonts w:ascii="黑体" w:hAnsi="黑体" w:eastAsia="黑体"/>
          <w:color w:val="auto"/>
          <w:sz w:val="24"/>
          <w:szCs w:val="24"/>
          <w:highlight w:val="none"/>
        </w:rPr>
      </w:pPr>
      <w:r>
        <w:rPr>
          <w:rFonts w:hint="eastAsia" w:ascii="黑体" w:hAnsi="黑体" w:eastAsia="黑体"/>
          <w:color w:val="auto"/>
          <w:sz w:val="24"/>
          <w:szCs w:val="24"/>
          <w:highlight w:val="none"/>
        </w:rPr>
        <w:t>（1）</w:t>
      </w:r>
      <w:r>
        <w:rPr>
          <w:rFonts w:ascii="黑体" w:hAnsi="黑体" w:eastAsia="黑体"/>
          <w:color w:val="auto"/>
          <w:sz w:val="24"/>
          <w:szCs w:val="24"/>
          <w:highlight w:val="none"/>
        </w:rPr>
        <w:t>起草(草案、调研)阶段</w:t>
      </w:r>
      <w:r>
        <w:rPr>
          <w:rFonts w:hint="eastAsia" w:ascii="黑体" w:hAnsi="黑体" w:eastAsia="黑体"/>
          <w:color w:val="auto"/>
          <w:sz w:val="24"/>
          <w:szCs w:val="24"/>
          <w:highlight w:val="none"/>
        </w:rPr>
        <w:t>（应描述清楚起草组的成立情况以及开展的各项工作介绍，</w:t>
      </w:r>
      <w:r>
        <w:rPr>
          <w:rFonts w:hint="eastAsia" w:ascii="黑体" w:hAnsi="黑体" w:eastAsia="黑体"/>
          <w:i/>
          <w:color w:val="auto"/>
          <w:sz w:val="24"/>
          <w:szCs w:val="24"/>
          <w:highlight w:val="none"/>
        </w:rPr>
        <w:t>有专题调研报告时应将其扫描件作为附件附后</w:t>
      </w:r>
      <w:r>
        <w:rPr>
          <w:rFonts w:hint="eastAsia" w:ascii="黑体" w:hAnsi="黑体" w:eastAsia="黑体"/>
          <w:color w:val="auto"/>
          <w:sz w:val="24"/>
          <w:szCs w:val="24"/>
          <w:highlight w:val="none"/>
        </w:rPr>
        <w:t>）</w:t>
      </w:r>
      <w:r>
        <w:rPr>
          <w:rFonts w:ascii="黑体" w:hAnsi="黑体" w:eastAsia="黑体"/>
          <w:color w:val="auto"/>
          <w:sz w:val="24"/>
          <w:szCs w:val="24"/>
          <w:highlight w:val="none"/>
        </w:rPr>
        <w:t>：</w:t>
      </w:r>
    </w:p>
    <w:p>
      <w:pPr>
        <w:spacing w:before="156" w:beforeLines="50" w:after="156" w:afterLines="50" w:line="440" w:lineRule="exact"/>
        <w:ind w:firstLine="480" w:firstLineChars="200"/>
        <w:outlineLvl w:val="0"/>
        <w:rPr>
          <w:rFonts w:hAnsi="宋体" w:eastAsia="宋体"/>
          <w:color w:val="auto"/>
          <w:sz w:val="24"/>
          <w:highlight w:val="none"/>
        </w:rPr>
      </w:pPr>
      <w:r>
        <w:rPr>
          <w:rFonts w:hint="eastAsia" w:hAnsi="宋体" w:eastAsia="宋体"/>
          <w:color w:val="auto"/>
          <w:sz w:val="24"/>
          <w:highlight w:val="none"/>
        </w:rPr>
        <w:t>起草(草案、调研)阶段:计划下达后，20</w:t>
      </w:r>
      <w:r>
        <w:rPr>
          <w:rFonts w:hAnsi="宋体" w:eastAsia="宋体"/>
          <w:color w:val="auto"/>
          <w:sz w:val="24"/>
          <w:highlight w:val="none"/>
        </w:rPr>
        <w:t>21</w:t>
      </w:r>
      <w:r>
        <w:rPr>
          <w:rFonts w:hint="eastAsia" w:hAnsi="宋体" w:eastAsia="宋体"/>
          <w:color w:val="auto"/>
          <w:sz w:val="24"/>
          <w:highlight w:val="none"/>
        </w:rPr>
        <w:t>年4月2</w:t>
      </w:r>
      <w:r>
        <w:rPr>
          <w:rFonts w:hAnsi="宋体" w:eastAsia="宋体"/>
          <w:color w:val="auto"/>
          <w:sz w:val="24"/>
          <w:highlight w:val="none"/>
        </w:rPr>
        <w:t>0</w:t>
      </w:r>
      <w:r>
        <w:rPr>
          <w:rFonts w:hint="eastAsia" w:hAnsi="宋体" w:eastAsia="宋体"/>
          <w:color w:val="auto"/>
          <w:sz w:val="24"/>
          <w:highlight w:val="none"/>
        </w:rPr>
        <w:t>日中国铸造协会铸铁工作委员会组织各起草单位成立了起草工作组，由广西玉柴机器配件制造有限公司牵头成立了标准编制工作组，负责主要起草工作。成立了标准编制工作组，负责主要起草工作。明确了标准的主要技术内容、进度安排及有关要求，并成立标准起草工作组，收集相关试验数据与材料，初步形成标准草案。20</w:t>
      </w:r>
      <w:r>
        <w:rPr>
          <w:rFonts w:hAnsi="宋体" w:eastAsia="宋体"/>
          <w:color w:val="auto"/>
          <w:sz w:val="24"/>
          <w:highlight w:val="none"/>
        </w:rPr>
        <w:t>21</w:t>
      </w:r>
      <w:r>
        <w:rPr>
          <w:rFonts w:hint="eastAsia" w:hAnsi="宋体" w:eastAsia="宋体"/>
          <w:color w:val="auto"/>
          <w:sz w:val="24"/>
          <w:highlight w:val="none"/>
        </w:rPr>
        <w:t>年4月</w:t>
      </w:r>
      <w:r>
        <w:rPr>
          <w:rFonts w:hAnsi="宋体" w:eastAsia="宋体"/>
          <w:color w:val="auto"/>
          <w:sz w:val="24"/>
          <w:highlight w:val="none"/>
        </w:rPr>
        <w:t>20</w:t>
      </w:r>
      <w:r>
        <w:rPr>
          <w:rFonts w:hint="eastAsia" w:hAnsi="宋体" w:eastAsia="宋体"/>
          <w:color w:val="auto"/>
          <w:sz w:val="24"/>
          <w:highlight w:val="none"/>
        </w:rPr>
        <w:t>日，获得中国铸造协会批准，正式立项。</w:t>
      </w:r>
    </w:p>
    <w:p>
      <w:pPr>
        <w:spacing w:before="156" w:beforeLines="50" w:after="156" w:afterLines="50" w:line="440" w:lineRule="exact"/>
        <w:ind w:firstLine="480" w:firstLineChars="200"/>
        <w:outlineLvl w:val="0"/>
        <w:rPr>
          <w:rFonts w:hAnsi="宋体" w:eastAsia="宋体"/>
          <w:color w:val="auto"/>
          <w:sz w:val="24"/>
          <w:highlight w:val="none"/>
        </w:rPr>
      </w:pPr>
      <w:r>
        <w:rPr>
          <w:rFonts w:hint="eastAsia" w:hAnsi="宋体" w:eastAsia="宋体"/>
          <w:color w:val="auto"/>
          <w:sz w:val="24"/>
          <w:highlight w:val="none"/>
        </w:rPr>
        <w:t>20</w:t>
      </w:r>
      <w:r>
        <w:rPr>
          <w:rFonts w:hAnsi="宋体" w:eastAsia="宋体"/>
          <w:color w:val="auto"/>
          <w:sz w:val="24"/>
          <w:highlight w:val="none"/>
        </w:rPr>
        <w:t>21</w:t>
      </w:r>
      <w:r>
        <w:rPr>
          <w:rFonts w:hint="eastAsia" w:hAnsi="宋体" w:eastAsia="宋体"/>
          <w:color w:val="auto"/>
          <w:sz w:val="24"/>
          <w:highlight w:val="none"/>
        </w:rPr>
        <w:t>年</w:t>
      </w:r>
      <w:r>
        <w:rPr>
          <w:rFonts w:hAnsi="宋体" w:eastAsia="宋体"/>
          <w:color w:val="auto"/>
          <w:sz w:val="24"/>
          <w:highlight w:val="none"/>
        </w:rPr>
        <w:t>4</w:t>
      </w:r>
      <w:r>
        <w:rPr>
          <w:rFonts w:hint="eastAsia" w:hAnsi="宋体" w:eastAsia="宋体"/>
          <w:color w:val="auto"/>
          <w:sz w:val="24"/>
          <w:highlight w:val="none"/>
        </w:rPr>
        <w:t>月~202</w:t>
      </w:r>
      <w:r>
        <w:rPr>
          <w:rFonts w:hAnsi="宋体" w:eastAsia="宋体"/>
          <w:color w:val="auto"/>
          <w:sz w:val="24"/>
          <w:highlight w:val="none"/>
        </w:rPr>
        <w:t>1</w:t>
      </w:r>
      <w:r>
        <w:rPr>
          <w:rFonts w:hint="eastAsia" w:hAnsi="宋体" w:eastAsia="宋体"/>
          <w:color w:val="auto"/>
          <w:sz w:val="24"/>
          <w:highlight w:val="none"/>
        </w:rPr>
        <w:t>年</w:t>
      </w:r>
      <w:r>
        <w:rPr>
          <w:rFonts w:hAnsi="宋体" w:eastAsia="宋体"/>
          <w:color w:val="auto"/>
          <w:sz w:val="24"/>
          <w:highlight w:val="none"/>
        </w:rPr>
        <w:t>6</w:t>
      </w:r>
      <w:r>
        <w:rPr>
          <w:rFonts w:hint="eastAsia" w:hAnsi="宋体" w:eastAsia="宋体"/>
          <w:color w:val="auto"/>
          <w:sz w:val="24"/>
          <w:highlight w:val="none"/>
        </w:rPr>
        <w:t>月，工作组对国内外高强度高塑性球墨铸铁件技术现状与发展情况进行全面调研，同时广泛搜集相关标准和国内外技术资料，进行了大量的研究分析、资料查证工作，并结合实际应用经验，进行全面总结和归纳，在此基础上编制出《高强度高塑性球墨铸铁件》标准草案和编制说明初稿。</w:t>
      </w:r>
    </w:p>
    <w:p>
      <w:pPr>
        <w:spacing w:before="156" w:beforeLines="50" w:after="156" w:afterLines="50" w:line="440" w:lineRule="exact"/>
        <w:ind w:firstLine="480" w:firstLineChars="200"/>
        <w:outlineLvl w:val="0"/>
        <w:rPr>
          <w:rFonts w:hAnsi="宋体" w:eastAsia="宋体"/>
          <w:color w:val="auto"/>
          <w:sz w:val="24"/>
          <w:highlight w:val="none"/>
        </w:rPr>
      </w:pPr>
      <w:r>
        <w:rPr>
          <w:rFonts w:hint="eastAsia" w:hAnsi="宋体" w:eastAsia="宋体"/>
          <w:color w:val="auto"/>
          <w:sz w:val="24"/>
          <w:highlight w:val="none"/>
        </w:rPr>
        <w:t>2021年9月10号，中国铸造协会铸铁工作委员会组织召开了《高强度高塑形球墨铸铁件》团体标准草稿技术研讨会，会议采用线下线上相结合形式，京外标准起草组和专家组采用线上模式，北京市内非防控重点区域的标准起草组和专家组采用线下交流。主要讨论研究了标准的名称、范围、定义、基体组织和牌号性能，讨论处理了征求意见专家提出的修改意见共16条，处理建议见下表，采纳意见7条，未采纳意见9条。</w:t>
      </w:r>
    </w:p>
    <w:tbl>
      <w:tblPr>
        <w:tblStyle w:val="6"/>
        <w:tblpPr w:leftFromText="180" w:rightFromText="180" w:vertAnchor="text" w:horzAnchor="margin" w:tblpXSpec="center" w:tblpY="258"/>
        <w:tblOverlap w:val="never"/>
        <w:tblW w:w="0" w:type="auto"/>
        <w:tblInd w:w="0" w:type="dxa"/>
        <w:tblLayout w:type="fixed"/>
        <w:tblCellMar>
          <w:top w:w="0" w:type="dxa"/>
          <w:left w:w="108" w:type="dxa"/>
          <w:bottom w:w="0" w:type="dxa"/>
          <w:right w:w="108" w:type="dxa"/>
        </w:tblCellMar>
      </w:tblPr>
      <w:tblGrid>
        <w:gridCol w:w="595"/>
        <w:gridCol w:w="595"/>
        <w:gridCol w:w="2661"/>
        <w:gridCol w:w="3180"/>
        <w:gridCol w:w="1309"/>
      </w:tblGrid>
      <w:tr>
        <w:tblPrEx>
          <w:tblCellMar>
            <w:top w:w="0" w:type="dxa"/>
            <w:left w:w="108" w:type="dxa"/>
            <w:bottom w:w="0" w:type="dxa"/>
            <w:right w:w="108" w:type="dxa"/>
          </w:tblCellMar>
        </w:tblPrEx>
        <w:trPr>
          <w:trHeight w:val="417" w:hRule="atLeast"/>
        </w:trPr>
        <w:tc>
          <w:tcPr>
            <w:tcW w:w="8340"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b/>
                <w:bCs/>
                <w:color w:val="auto"/>
                <w:sz w:val="24"/>
                <w:szCs w:val="24"/>
                <w:highlight w:val="none"/>
              </w:rPr>
            </w:pPr>
            <w:r>
              <w:rPr>
                <w:rFonts w:hint="eastAsia" w:ascii="宋体" w:hAnsi="宋体" w:eastAsia="宋体" w:cs="宋体"/>
                <w:b/>
                <w:bCs/>
                <w:color w:val="auto"/>
                <w:kern w:val="0"/>
                <w:sz w:val="24"/>
                <w:szCs w:val="24"/>
                <w:highlight w:val="none"/>
              </w:rPr>
              <w:t>专家意见汇总表</w:t>
            </w:r>
          </w:p>
        </w:tc>
      </w:tr>
      <w:tr>
        <w:tblPrEx>
          <w:tblCellMar>
            <w:top w:w="0" w:type="dxa"/>
            <w:left w:w="108" w:type="dxa"/>
            <w:bottom w:w="0" w:type="dxa"/>
            <w:right w:w="108" w:type="dxa"/>
          </w:tblCellMar>
        </w:tblPrEx>
        <w:trPr>
          <w:trHeight w:val="475" w:hRule="atLeast"/>
        </w:trPr>
        <w:tc>
          <w:tcPr>
            <w:tcW w:w="5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b/>
                <w:bCs/>
                <w:color w:val="auto"/>
                <w:sz w:val="22"/>
                <w:szCs w:val="22"/>
                <w:highlight w:val="none"/>
              </w:rPr>
            </w:pPr>
            <w:r>
              <w:rPr>
                <w:rFonts w:hint="eastAsia" w:ascii="宋体" w:hAnsi="宋体" w:eastAsia="宋体" w:cs="宋体"/>
                <w:b/>
                <w:bCs/>
                <w:color w:val="auto"/>
                <w:kern w:val="0"/>
                <w:sz w:val="22"/>
                <w:szCs w:val="22"/>
                <w:highlight w:val="none"/>
              </w:rPr>
              <w:t>序号</w:t>
            </w:r>
          </w:p>
        </w:tc>
        <w:tc>
          <w:tcPr>
            <w:tcW w:w="5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b/>
                <w:bCs/>
                <w:color w:val="auto"/>
                <w:sz w:val="22"/>
                <w:szCs w:val="22"/>
                <w:highlight w:val="none"/>
              </w:rPr>
            </w:pPr>
            <w:r>
              <w:rPr>
                <w:rFonts w:hint="eastAsia" w:ascii="宋体" w:hAnsi="宋体" w:eastAsia="宋体" w:cs="宋体"/>
                <w:b/>
                <w:bCs/>
                <w:color w:val="auto"/>
                <w:kern w:val="0"/>
                <w:sz w:val="22"/>
                <w:szCs w:val="22"/>
                <w:highlight w:val="none"/>
              </w:rPr>
              <w:t>专家</w:t>
            </w:r>
          </w:p>
        </w:tc>
        <w:tc>
          <w:tcPr>
            <w:tcW w:w="2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b/>
                <w:bCs/>
                <w:color w:val="auto"/>
                <w:sz w:val="22"/>
                <w:szCs w:val="22"/>
                <w:highlight w:val="none"/>
              </w:rPr>
            </w:pPr>
            <w:r>
              <w:rPr>
                <w:rFonts w:hint="eastAsia" w:ascii="宋体" w:hAnsi="宋体" w:eastAsia="宋体" w:cs="宋体"/>
                <w:b/>
                <w:bCs/>
                <w:color w:val="auto"/>
                <w:kern w:val="0"/>
                <w:sz w:val="22"/>
                <w:szCs w:val="22"/>
                <w:highlight w:val="none"/>
              </w:rPr>
              <w:t>专家意见</w:t>
            </w:r>
          </w:p>
        </w:tc>
        <w:tc>
          <w:tcPr>
            <w:tcW w:w="31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b/>
                <w:bCs/>
                <w:color w:val="auto"/>
                <w:sz w:val="22"/>
                <w:szCs w:val="22"/>
                <w:highlight w:val="none"/>
              </w:rPr>
            </w:pPr>
            <w:r>
              <w:rPr>
                <w:rFonts w:hint="eastAsia" w:ascii="宋体" w:hAnsi="宋体" w:eastAsia="宋体" w:cs="宋体"/>
                <w:b/>
                <w:bCs/>
                <w:color w:val="auto"/>
                <w:kern w:val="0"/>
                <w:sz w:val="22"/>
                <w:szCs w:val="22"/>
                <w:highlight w:val="none"/>
              </w:rPr>
              <w:t>是否采纳</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b/>
                <w:bCs/>
                <w:color w:val="auto"/>
                <w:sz w:val="22"/>
                <w:szCs w:val="22"/>
                <w:highlight w:val="none"/>
              </w:rPr>
            </w:pPr>
            <w:r>
              <w:rPr>
                <w:rFonts w:hint="eastAsia" w:ascii="宋体" w:hAnsi="宋体" w:eastAsia="宋体" w:cs="宋体"/>
                <w:b/>
                <w:bCs/>
                <w:color w:val="auto"/>
                <w:kern w:val="0"/>
                <w:sz w:val="22"/>
                <w:szCs w:val="22"/>
                <w:highlight w:val="none"/>
              </w:rPr>
              <w:t>备注</w:t>
            </w:r>
          </w:p>
        </w:tc>
      </w:tr>
      <w:tr>
        <w:tblPrEx>
          <w:tblCellMar>
            <w:top w:w="0" w:type="dxa"/>
            <w:left w:w="108" w:type="dxa"/>
            <w:bottom w:w="0" w:type="dxa"/>
            <w:right w:w="108" w:type="dxa"/>
          </w:tblCellMar>
        </w:tblPrEx>
        <w:trPr>
          <w:trHeight w:val="1480" w:hRule="atLeast"/>
        </w:trPr>
        <w:tc>
          <w:tcPr>
            <w:tcW w:w="5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2"/>
                <w:szCs w:val="22"/>
                <w:highlight w:val="none"/>
              </w:rPr>
            </w:pPr>
            <w:r>
              <w:rPr>
                <w:rFonts w:hint="eastAsia" w:ascii="宋体" w:hAnsi="宋体" w:eastAsia="宋体" w:cs="宋体"/>
                <w:color w:val="auto"/>
                <w:kern w:val="0"/>
                <w:sz w:val="22"/>
                <w:szCs w:val="22"/>
                <w:highlight w:val="none"/>
              </w:rPr>
              <w:t>1</w:t>
            </w:r>
          </w:p>
        </w:tc>
        <w:tc>
          <w:tcPr>
            <w:tcW w:w="5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2"/>
                <w:szCs w:val="22"/>
                <w:highlight w:val="none"/>
              </w:rPr>
            </w:pPr>
            <w:r>
              <w:rPr>
                <w:rFonts w:hint="eastAsia" w:ascii="宋体" w:hAnsi="宋体" w:eastAsia="宋体" w:cs="宋体"/>
                <w:color w:val="auto"/>
                <w:kern w:val="0"/>
                <w:sz w:val="22"/>
                <w:szCs w:val="22"/>
                <w:highlight w:val="none"/>
              </w:rPr>
              <w:t>A</w:t>
            </w:r>
          </w:p>
        </w:tc>
        <w:tc>
          <w:tcPr>
            <w:tcW w:w="2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auto"/>
                <w:sz w:val="22"/>
                <w:szCs w:val="22"/>
                <w:highlight w:val="none"/>
              </w:rPr>
            </w:pPr>
            <w:r>
              <w:rPr>
                <w:rFonts w:hint="eastAsia" w:ascii="宋体" w:hAnsi="宋体" w:eastAsia="宋体" w:cs="宋体"/>
                <w:color w:val="auto"/>
                <w:kern w:val="0"/>
                <w:sz w:val="22"/>
                <w:szCs w:val="22"/>
                <w:highlight w:val="none"/>
              </w:rPr>
              <w:t>1范围：金属型覆砂改为铁模覆砂</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2"/>
                <w:szCs w:val="22"/>
                <w:highlight w:val="none"/>
              </w:rPr>
            </w:pPr>
            <w:r>
              <w:rPr>
                <w:rFonts w:hint="eastAsia" w:ascii="宋体" w:hAnsi="宋体" w:eastAsia="宋体" w:cs="宋体"/>
                <w:color w:val="auto"/>
                <w:kern w:val="0"/>
                <w:sz w:val="22"/>
                <w:szCs w:val="22"/>
                <w:highlight w:val="none"/>
              </w:rPr>
              <w:t>采纳，改为：</w:t>
            </w:r>
            <w:r>
              <w:rPr>
                <w:rStyle w:val="18"/>
                <w:rFonts w:hint="default"/>
                <w:color w:val="auto"/>
                <w:highlight w:val="none"/>
              </w:rPr>
              <w:t>铁型覆砂</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auto"/>
                <w:sz w:val="22"/>
                <w:szCs w:val="22"/>
                <w:highlight w:val="none"/>
              </w:rPr>
            </w:pPr>
          </w:p>
        </w:tc>
      </w:tr>
      <w:tr>
        <w:tblPrEx>
          <w:tblCellMar>
            <w:top w:w="0" w:type="dxa"/>
            <w:left w:w="108" w:type="dxa"/>
            <w:bottom w:w="0" w:type="dxa"/>
            <w:right w:w="108" w:type="dxa"/>
          </w:tblCellMar>
        </w:tblPrEx>
        <w:trPr>
          <w:trHeight w:val="475" w:hRule="atLeast"/>
        </w:trPr>
        <w:tc>
          <w:tcPr>
            <w:tcW w:w="5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2"/>
                <w:szCs w:val="22"/>
                <w:highlight w:val="none"/>
              </w:rPr>
            </w:pPr>
            <w:r>
              <w:rPr>
                <w:rFonts w:hint="eastAsia" w:ascii="宋体" w:hAnsi="宋体" w:eastAsia="宋体" w:cs="宋体"/>
                <w:color w:val="auto"/>
                <w:kern w:val="0"/>
                <w:sz w:val="22"/>
                <w:szCs w:val="22"/>
                <w:highlight w:val="none"/>
              </w:rPr>
              <w:t>2</w:t>
            </w:r>
          </w:p>
        </w:tc>
        <w:tc>
          <w:tcPr>
            <w:tcW w:w="5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2"/>
                <w:szCs w:val="22"/>
                <w:highlight w:val="none"/>
              </w:rPr>
            </w:pPr>
            <w:r>
              <w:rPr>
                <w:rFonts w:hint="eastAsia" w:ascii="宋体" w:hAnsi="宋体" w:eastAsia="宋体" w:cs="宋体"/>
                <w:color w:val="auto"/>
                <w:kern w:val="0"/>
                <w:sz w:val="22"/>
                <w:szCs w:val="22"/>
                <w:highlight w:val="none"/>
              </w:rPr>
              <w:t>A</w:t>
            </w:r>
          </w:p>
        </w:tc>
        <w:tc>
          <w:tcPr>
            <w:tcW w:w="2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auto"/>
                <w:sz w:val="22"/>
                <w:szCs w:val="22"/>
                <w:highlight w:val="none"/>
              </w:rPr>
            </w:pPr>
            <w:r>
              <w:rPr>
                <w:rFonts w:hint="eastAsia" w:ascii="宋体" w:hAnsi="宋体" w:eastAsia="宋体" w:cs="宋体"/>
                <w:color w:val="auto"/>
                <w:kern w:val="0"/>
                <w:sz w:val="22"/>
                <w:szCs w:val="22"/>
                <w:highlight w:val="none"/>
              </w:rPr>
              <w:t>2引用文件错别字</w:t>
            </w:r>
          </w:p>
        </w:tc>
        <w:tc>
          <w:tcPr>
            <w:tcW w:w="31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auto"/>
                <w:sz w:val="22"/>
                <w:szCs w:val="22"/>
                <w:highlight w:val="none"/>
              </w:rPr>
            </w:pPr>
            <w:r>
              <w:rPr>
                <w:rFonts w:hint="eastAsia" w:ascii="宋体" w:hAnsi="宋体" w:eastAsia="宋体" w:cs="宋体"/>
                <w:color w:val="auto"/>
                <w:kern w:val="0"/>
                <w:sz w:val="22"/>
                <w:szCs w:val="22"/>
                <w:highlight w:val="none"/>
              </w:rPr>
              <w:t>采纳</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auto"/>
                <w:sz w:val="22"/>
                <w:szCs w:val="22"/>
                <w:highlight w:val="none"/>
              </w:rPr>
            </w:pPr>
          </w:p>
        </w:tc>
      </w:tr>
      <w:tr>
        <w:tblPrEx>
          <w:tblCellMar>
            <w:top w:w="0" w:type="dxa"/>
            <w:left w:w="108" w:type="dxa"/>
            <w:bottom w:w="0" w:type="dxa"/>
            <w:right w:w="108" w:type="dxa"/>
          </w:tblCellMar>
        </w:tblPrEx>
        <w:trPr>
          <w:trHeight w:val="1822" w:hRule="atLeast"/>
        </w:trPr>
        <w:tc>
          <w:tcPr>
            <w:tcW w:w="5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2"/>
                <w:szCs w:val="22"/>
                <w:highlight w:val="none"/>
              </w:rPr>
            </w:pPr>
            <w:r>
              <w:rPr>
                <w:rFonts w:hint="eastAsia" w:ascii="宋体" w:hAnsi="宋体" w:eastAsia="宋体" w:cs="宋体"/>
                <w:color w:val="auto"/>
                <w:kern w:val="0"/>
                <w:sz w:val="22"/>
                <w:szCs w:val="22"/>
                <w:highlight w:val="none"/>
              </w:rPr>
              <w:t>3</w:t>
            </w:r>
          </w:p>
        </w:tc>
        <w:tc>
          <w:tcPr>
            <w:tcW w:w="5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2"/>
                <w:szCs w:val="22"/>
                <w:highlight w:val="none"/>
              </w:rPr>
            </w:pPr>
            <w:r>
              <w:rPr>
                <w:rFonts w:hint="eastAsia" w:ascii="宋体" w:hAnsi="宋体" w:eastAsia="宋体" w:cs="宋体"/>
                <w:color w:val="auto"/>
                <w:kern w:val="0"/>
                <w:sz w:val="22"/>
                <w:szCs w:val="22"/>
                <w:highlight w:val="none"/>
              </w:rPr>
              <w:t>A</w:t>
            </w:r>
          </w:p>
        </w:tc>
        <w:tc>
          <w:tcPr>
            <w:tcW w:w="26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2"/>
                <w:szCs w:val="22"/>
                <w:highlight w:val="none"/>
              </w:rPr>
            </w:pPr>
            <w:r>
              <w:rPr>
                <w:rFonts w:hint="eastAsia" w:ascii="宋体" w:hAnsi="宋体" w:eastAsia="宋体" w:cs="宋体"/>
                <w:color w:val="auto"/>
                <w:kern w:val="0"/>
                <w:sz w:val="22"/>
                <w:szCs w:val="22"/>
                <w:highlight w:val="none"/>
              </w:rPr>
              <w:t>3.1描述改为“一种通过加快液固转变和固态相变冷却速度，获得以凝固组织显著细化、基体组织主要由细片状珠光体组成为特性的高强度高塑性珠光体球墨铸铁。”</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2"/>
                <w:szCs w:val="22"/>
                <w:highlight w:val="none"/>
              </w:rPr>
            </w:pPr>
            <w:r>
              <w:rPr>
                <w:rFonts w:hint="eastAsia" w:ascii="宋体" w:hAnsi="宋体" w:eastAsia="宋体" w:cs="宋体"/>
                <w:color w:val="auto"/>
                <w:kern w:val="0"/>
                <w:sz w:val="22"/>
                <w:szCs w:val="22"/>
                <w:highlight w:val="none"/>
              </w:rPr>
              <w:t>未采纳，改为：一种兼有高强度和高塑性的球墨铸铁，抗拉强度≥7</w:t>
            </w:r>
            <w:r>
              <w:rPr>
                <w:rFonts w:ascii="宋体" w:hAnsi="宋体" w:eastAsia="宋体" w:cs="宋体"/>
                <w:color w:val="auto"/>
                <w:kern w:val="0"/>
                <w:sz w:val="22"/>
                <w:szCs w:val="22"/>
                <w:highlight w:val="none"/>
              </w:rPr>
              <w:t>00M</w:t>
            </w:r>
            <w:r>
              <w:rPr>
                <w:rFonts w:hint="eastAsia" w:ascii="宋体" w:hAnsi="宋体" w:eastAsia="宋体" w:cs="宋体"/>
                <w:color w:val="auto"/>
                <w:kern w:val="0"/>
                <w:sz w:val="22"/>
                <w:szCs w:val="22"/>
                <w:highlight w:val="none"/>
              </w:rPr>
              <w:t>pa，</w:t>
            </w:r>
            <w:r>
              <w:rPr>
                <w:rStyle w:val="18"/>
                <w:rFonts w:hint="default"/>
                <w:color w:val="auto"/>
                <w:highlight w:val="none"/>
              </w:rPr>
              <w:t>且伸长率不低于5%。</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auto"/>
                <w:sz w:val="22"/>
                <w:szCs w:val="22"/>
                <w:highlight w:val="none"/>
              </w:rPr>
            </w:pPr>
            <w:r>
              <w:rPr>
                <w:rFonts w:hint="eastAsia" w:ascii="宋体" w:hAnsi="宋体" w:eastAsia="宋体" w:cs="宋体"/>
                <w:color w:val="auto"/>
                <w:kern w:val="0"/>
                <w:sz w:val="22"/>
                <w:szCs w:val="22"/>
                <w:highlight w:val="none"/>
              </w:rPr>
              <w:t>根据通用性</w:t>
            </w:r>
          </w:p>
        </w:tc>
      </w:tr>
      <w:tr>
        <w:tblPrEx>
          <w:tblCellMar>
            <w:top w:w="0" w:type="dxa"/>
            <w:left w:w="108" w:type="dxa"/>
            <w:bottom w:w="0" w:type="dxa"/>
            <w:right w:w="108" w:type="dxa"/>
          </w:tblCellMar>
        </w:tblPrEx>
        <w:trPr>
          <w:trHeight w:val="614" w:hRule="atLeast"/>
        </w:trPr>
        <w:tc>
          <w:tcPr>
            <w:tcW w:w="5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2"/>
                <w:szCs w:val="22"/>
                <w:highlight w:val="none"/>
              </w:rPr>
            </w:pPr>
            <w:r>
              <w:rPr>
                <w:rFonts w:hint="eastAsia" w:ascii="宋体" w:hAnsi="宋体" w:eastAsia="宋体" w:cs="宋体"/>
                <w:color w:val="auto"/>
                <w:kern w:val="0"/>
                <w:sz w:val="22"/>
                <w:szCs w:val="22"/>
                <w:highlight w:val="none"/>
              </w:rPr>
              <w:t>4</w:t>
            </w:r>
          </w:p>
        </w:tc>
        <w:tc>
          <w:tcPr>
            <w:tcW w:w="5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2"/>
                <w:szCs w:val="22"/>
                <w:highlight w:val="none"/>
              </w:rPr>
            </w:pPr>
            <w:r>
              <w:rPr>
                <w:rFonts w:hint="eastAsia" w:ascii="宋体" w:hAnsi="宋体" w:eastAsia="宋体" w:cs="宋体"/>
                <w:color w:val="auto"/>
                <w:kern w:val="0"/>
                <w:sz w:val="22"/>
                <w:szCs w:val="22"/>
                <w:highlight w:val="none"/>
              </w:rPr>
              <w:t>A</w:t>
            </w:r>
          </w:p>
        </w:tc>
        <w:tc>
          <w:tcPr>
            <w:tcW w:w="2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auto"/>
                <w:sz w:val="22"/>
                <w:szCs w:val="22"/>
                <w:highlight w:val="none"/>
              </w:rPr>
            </w:pPr>
            <w:r>
              <w:rPr>
                <w:rFonts w:hint="eastAsia" w:ascii="宋体" w:hAnsi="宋体" w:eastAsia="宋体" w:cs="宋体"/>
                <w:color w:val="auto"/>
                <w:kern w:val="0"/>
                <w:sz w:val="22"/>
                <w:szCs w:val="22"/>
                <w:highlight w:val="none"/>
              </w:rPr>
              <w:t>3.3/4/5/6.3错别字和错别描述</w:t>
            </w:r>
          </w:p>
        </w:tc>
        <w:tc>
          <w:tcPr>
            <w:tcW w:w="31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auto"/>
                <w:sz w:val="22"/>
                <w:szCs w:val="22"/>
                <w:highlight w:val="none"/>
              </w:rPr>
            </w:pPr>
            <w:r>
              <w:rPr>
                <w:rFonts w:hint="eastAsia" w:ascii="宋体" w:hAnsi="宋体" w:eastAsia="宋体" w:cs="宋体"/>
                <w:color w:val="auto"/>
                <w:kern w:val="0"/>
                <w:sz w:val="22"/>
                <w:szCs w:val="22"/>
                <w:highlight w:val="none"/>
              </w:rPr>
              <w:t>采纳</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auto"/>
                <w:sz w:val="22"/>
                <w:szCs w:val="22"/>
                <w:highlight w:val="none"/>
              </w:rPr>
            </w:pPr>
          </w:p>
        </w:tc>
      </w:tr>
      <w:tr>
        <w:tblPrEx>
          <w:tblCellMar>
            <w:top w:w="0" w:type="dxa"/>
            <w:left w:w="108" w:type="dxa"/>
            <w:bottom w:w="0" w:type="dxa"/>
            <w:right w:w="108" w:type="dxa"/>
          </w:tblCellMar>
        </w:tblPrEx>
        <w:trPr>
          <w:trHeight w:val="920" w:hRule="atLeast"/>
        </w:trPr>
        <w:tc>
          <w:tcPr>
            <w:tcW w:w="5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2"/>
                <w:szCs w:val="22"/>
                <w:highlight w:val="none"/>
              </w:rPr>
            </w:pPr>
            <w:r>
              <w:rPr>
                <w:rFonts w:hint="eastAsia" w:ascii="宋体" w:hAnsi="宋体" w:eastAsia="宋体" w:cs="宋体"/>
                <w:color w:val="auto"/>
                <w:kern w:val="0"/>
                <w:sz w:val="22"/>
                <w:szCs w:val="22"/>
                <w:highlight w:val="none"/>
              </w:rPr>
              <w:t>5</w:t>
            </w:r>
          </w:p>
        </w:tc>
        <w:tc>
          <w:tcPr>
            <w:tcW w:w="5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2"/>
                <w:szCs w:val="22"/>
                <w:highlight w:val="none"/>
              </w:rPr>
            </w:pPr>
            <w:r>
              <w:rPr>
                <w:rFonts w:hint="eastAsia" w:ascii="宋体" w:hAnsi="宋体" w:eastAsia="宋体" w:cs="宋体"/>
                <w:color w:val="auto"/>
                <w:kern w:val="0"/>
                <w:sz w:val="22"/>
                <w:szCs w:val="22"/>
                <w:highlight w:val="none"/>
              </w:rPr>
              <w:t>A</w:t>
            </w:r>
          </w:p>
        </w:tc>
        <w:tc>
          <w:tcPr>
            <w:tcW w:w="2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auto"/>
                <w:sz w:val="22"/>
                <w:szCs w:val="22"/>
                <w:highlight w:val="none"/>
              </w:rPr>
            </w:pPr>
            <w:r>
              <w:rPr>
                <w:rFonts w:hint="eastAsia" w:ascii="宋体" w:hAnsi="宋体" w:eastAsia="宋体" w:cs="宋体"/>
                <w:color w:val="auto"/>
                <w:kern w:val="0"/>
                <w:sz w:val="22"/>
                <w:szCs w:val="22"/>
                <w:highlight w:val="none"/>
              </w:rPr>
              <w:t>6.4石墨组织球化级别1-2级，球数300个</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2"/>
                <w:szCs w:val="22"/>
                <w:highlight w:val="none"/>
              </w:rPr>
            </w:pPr>
            <w:r>
              <w:rPr>
                <w:rFonts w:hint="eastAsia" w:ascii="宋体" w:hAnsi="宋体" w:eastAsia="宋体" w:cs="宋体"/>
                <w:color w:val="auto"/>
                <w:kern w:val="0"/>
                <w:sz w:val="22"/>
                <w:szCs w:val="22"/>
                <w:highlight w:val="none"/>
              </w:rPr>
              <w:t>未采纳，改为：球化级别应1-3级，石墨颗粒大小</w:t>
            </w:r>
            <w:r>
              <w:rPr>
                <w:rStyle w:val="18"/>
                <w:rFonts w:hint="default"/>
                <w:color w:val="auto"/>
                <w:highlight w:val="none"/>
              </w:rPr>
              <w:t>4-8级</w:t>
            </w:r>
            <w:r>
              <w:rPr>
                <w:rStyle w:val="19"/>
                <w:rFonts w:hint="default"/>
                <w:color w:val="auto"/>
                <w:highlight w:val="none"/>
              </w:rPr>
              <w:t>，球数应不低于</w:t>
            </w:r>
            <w:r>
              <w:rPr>
                <w:rStyle w:val="18"/>
                <w:rFonts w:hint="default"/>
                <w:color w:val="auto"/>
                <w:highlight w:val="none"/>
              </w:rPr>
              <w:t>100个/mm²</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auto"/>
                <w:sz w:val="22"/>
                <w:szCs w:val="22"/>
                <w:highlight w:val="none"/>
              </w:rPr>
            </w:pPr>
            <w:r>
              <w:rPr>
                <w:rFonts w:hint="eastAsia" w:ascii="宋体" w:hAnsi="宋体" w:eastAsia="宋体" w:cs="宋体"/>
                <w:color w:val="auto"/>
                <w:kern w:val="0"/>
                <w:sz w:val="22"/>
                <w:szCs w:val="22"/>
                <w:highlight w:val="none"/>
              </w:rPr>
              <w:t>根据通用性</w:t>
            </w:r>
          </w:p>
        </w:tc>
      </w:tr>
      <w:tr>
        <w:tblPrEx>
          <w:tblCellMar>
            <w:top w:w="0" w:type="dxa"/>
            <w:left w:w="108" w:type="dxa"/>
            <w:bottom w:w="0" w:type="dxa"/>
            <w:right w:w="108" w:type="dxa"/>
          </w:tblCellMar>
        </w:tblPrEx>
        <w:trPr>
          <w:trHeight w:val="1578" w:hRule="atLeast"/>
        </w:trPr>
        <w:tc>
          <w:tcPr>
            <w:tcW w:w="5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2"/>
                <w:szCs w:val="22"/>
                <w:highlight w:val="none"/>
              </w:rPr>
            </w:pPr>
            <w:r>
              <w:rPr>
                <w:rFonts w:hint="eastAsia" w:ascii="宋体" w:hAnsi="宋体" w:eastAsia="宋体" w:cs="宋体"/>
                <w:color w:val="auto"/>
                <w:kern w:val="0"/>
                <w:sz w:val="22"/>
                <w:szCs w:val="22"/>
                <w:highlight w:val="none"/>
              </w:rPr>
              <w:t>6</w:t>
            </w:r>
          </w:p>
        </w:tc>
        <w:tc>
          <w:tcPr>
            <w:tcW w:w="5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2"/>
                <w:szCs w:val="22"/>
                <w:highlight w:val="none"/>
              </w:rPr>
            </w:pPr>
            <w:r>
              <w:rPr>
                <w:rFonts w:hint="eastAsia" w:ascii="宋体" w:hAnsi="宋体" w:eastAsia="宋体" w:cs="宋体"/>
                <w:color w:val="auto"/>
                <w:kern w:val="0"/>
                <w:sz w:val="22"/>
                <w:szCs w:val="22"/>
                <w:highlight w:val="none"/>
              </w:rPr>
              <w:t>A</w:t>
            </w:r>
          </w:p>
        </w:tc>
        <w:tc>
          <w:tcPr>
            <w:tcW w:w="2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auto"/>
                <w:sz w:val="22"/>
                <w:szCs w:val="22"/>
                <w:highlight w:val="none"/>
              </w:rPr>
            </w:pPr>
            <w:r>
              <w:rPr>
                <w:rFonts w:hint="eastAsia" w:ascii="宋体" w:hAnsi="宋体" w:eastAsia="宋体" w:cs="宋体"/>
                <w:color w:val="auto"/>
                <w:kern w:val="0"/>
                <w:sz w:val="22"/>
                <w:szCs w:val="22"/>
                <w:highlight w:val="none"/>
              </w:rPr>
              <w:t>6.5基体组织同时含有3-15%铁素体</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2"/>
                <w:szCs w:val="22"/>
                <w:highlight w:val="none"/>
              </w:rPr>
            </w:pPr>
            <w:r>
              <w:rPr>
                <w:rFonts w:hint="eastAsia" w:ascii="宋体" w:hAnsi="宋体" w:eastAsia="宋体" w:cs="宋体"/>
                <w:color w:val="auto"/>
                <w:kern w:val="0"/>
                <w:sz w:val="22"/>
                <w:szCs w:val="22"/>
                <w:highlight w:val="none"/>
              </w:rPr>
              <w:t>未采纳，改为“高强度高塑性球墨铸铁的基体组织应以珠光体为主。”</w:t>
            </w:r>
            <w:r>
              <w:rPr>
                <w:rFonts w:hint="eastAsia" w:ascii="宋体" w:hAnsi="宋体" w:eastAsia="宋体" w:cs="宋体"/>
                <w:color w:val="auto"/>
                <w:kern w:val="0"/>
                <w:sz w:val="22"/>
                <w:szCs w:val="22"/>
                <w:highlight w:val="none"/>
              </w:rPr>
              <w:br w:type="textWrapping"/>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auto"/>
                <w:sz w:val="22"/>
                <w:szCs w:val="22"/>
                <w:highlight w:val="none"/>
              </w:rPr>
            </w:pPr>
            <w:r>
              <w:rPr>
                <w:rFonts w:hint="eastAsia" w:ascii="宋体" w:hAnsi="宋体" w:eastAsia="宋体" w:cs="宋体"/>
                <w:color w:val="auto"/>
                <w:kern w:val="0"/>
                <w:sz w:val="22"/>
                <w:szCs w:val="22"/>
                <w:highlight w:val="none"/>
              </w:rPr>
              <w:t>根据通用性</w:t>
            </w:r>
          </w:p>
        </w:tc>
      </w:tr>
      <w:tr>
        <w:tblPrEx>
          <w:tblCellMar>
            <w:top w:w="0" w:type="dxa"/>
            <w:left w:w="108" w:type="dxa"/>
            <w:bottom w:w="0" w:type="dxa"/>
            <w:right w:w="108" w:type="dxa"/>
          </w:tblCellMar>
        </w:tblPrEx>
        <w:trPr>
          <w:trHeight w:val="614" w:hRule="atLeast"/>
        </w:trPr>
        <w:tc>
          <w:tcPr>
            <w:tcW w:w="5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2"/>
                <w:szCs w:val="22"/>
                <w:highlight w:val="none"/>
              </w:rPr>
            </w:pPr>
            <w:r>
              <w:rPr>
                <w:rFonts w:hint="eastAsia" w:ascii="宋体" w:hAnsi="宋体" w:eastAsia="宋体" w:cs="宋体"/>
                <w:color w:val="auto"/>
                <w:kern w:val="0"/>
                <w:sz w:val="22"/>
                <w:szCs w:val="22"/>
                <w:highlight w:val="none"/>
              </w:rPr>
              <w:t>7</w:t>
            </w:r>
          </w:p>
        </w:tc>
        <w:tc>
          <w:tcPr>
            <w:tcW w:w="5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2"/>
                <w:szCs w:val="22"/>
                <w:highlight w:val="none"/>
              </w:rPr>
            </w:pPr>
            <w:r>
              <w:rPr>
                <w:rFonts w:hint="eastAsia" w:ascii="宋体" w:hAnsi="宋体" w:eastAsia="宋体" w:cs="宋体"/>
                <w:color w:val="auto"/>
                <w:kern w:val="0"/>
                <w:sz w:val="22"/>
                <w:szCs w:val="22"/>
                <w:highlight w:val="none"/>
              </w:rPr>
              <w:t>A</w:t>
            </w:r>
          </w:p>
        </w:tc>
        <w:tc>
          <w:tcPr>
            <w:tcW w:w="2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auto"/>
                <w:sz w:val="22"/>
                <w:szCs w:val="22"/>
                <w:highlight w:val="none"/>
              </w:rPr>
            </w:pPr>
            <w:r>
              <w:rPr>
                <w:rFonts w:hint="eastAsia" w:ascii="宋体" w:hAnsi="宋体" w:eastAsia="宋体" w:cs="宋体"/>
                <w:color w:val="auto"/>
                <w:kern w:val="0"/>
                <w:sz w:val="22"/>
                <w:szCs w:val="22"/>
                <w:highlight w:val="none"/>
              </w:rPr>
              <w:t>6.9/7.3/8.1/8.7/9.4/10错别字和错别描述</w:t>
            </w:r>
          </w:p>
        </w:tc>
        <w:tc>
          <w:tcPr>
            <w:tcW w:w="31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auto"/>
                <w:sz w:val="22"/>
                <w:szCs w:val="22"/>
                <w:highlight w:val="none"/>
              </w:rPr>
            </w:pPr>
            <w:r>
              <w:rPr>
                <w:rFonts w:hint="eastAsia" w:ascii="宋体" w:hAnsi="宋体" w:eastAsia="宋体" w:cs="宋体"/>
                <w:color w:val="auto"/>
                <w:kern w:val="0"/>
                <w:sz w:val="22"/>
                <w:szCs w:val="22"/>
                <w:highlight w:val="none"/>
              </w:rPr>
              <w:t>采纳</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auto"/>
                <w:sz w:val="22"/>
                <w:szCs w:val="22"/>
                <w:highlight w:val="none"/>
              </w:rPr>
            </w:pPr>
          </w:p>
        </w:tc>
      </w:tr>
      <w:tr>
        <w:tblPrEx>
          <w:tblCellMar>
            <w:top w:w="0" w:type="dxa"/>
            <w:left w:w="108" w:type="dxa"/>
            <w:bottom w:w="0" w:type="dxa"/>
            <w:right w:w="108" w:type="dxa"/>
          </w:tblCellMar>
        </w:tblPrEx>
        <w:trPr>
          <w:trHeight w:val="1055" w:hRule="atLeast"/>
        </w:trPr>
        <w:tc>
          <w:tcPr>
            <w:tcW w:w="5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2"/>
                <w:szCs w:val="22"/>
                <w:highlight w:val="none"/>
              </w:rPr>
            </w:pPr>
            <w:r>
              <w:rPr>
                <w:rFonts w:hint="eastAsia" w:ascii="宋体" w:hAnsi="宋体" w:eastAsia="宋体" w:cs="宋体"/>
                <w:color w:val="auto"/>
                <w:kern w:val="0"/>
                <w:sz w:val="22"/>
                <w:szCs w:val="22"/>
                <w:highlight w:val="none"/>
              </w:rPr>
              <w:t>8</w:t>
            </w:r>
          </w:p>
        </w:tc>
        <w:tc>
          <w:tcPr>
            <w:tcW w:w="5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2"/>
                <w:szCs w:val="22"/>
                <w:highlight w:val="none"/>
              </w:rPr>
            </w:pPr>
            <w:r>
              <w:rPr>
                <w:rFonts w:hint="eastAsia" w:ascii="宋体" w:hAnsi="宋体" w:eastAsia="宋体" w:cs="宋体"/>
                <w:color w:val="auto"/>
                <w:kern w:val="0"/>
                <w:sz w:val="22"/>
                <w:szCs w:val="22"/>
                <w:highlight w:val="none"/>
              </w:rPr>
              <w:t>B</w:t>
            </w:r>
          </w:p>
        </w:tc>
        <w:tc>
          <w:tcPr>
            <w:tcW w:w="2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auto"/>
                <w:sz w:val="22"/>
                <w:szCs w:val="22"/>
                <w:highlight w:val="none"/>
              </w:rPr>
            </w:pPr>
            <w:r>
              <w:rPr>
                <w:rFonts w:hint="eastAsia" w:ascii="宋体" w:hAnsi="宋体" w:eastAsia="宋体" w:cs="宋体"/>
                <w:color w:val="auto"/>
                <w:kern w:val="0"/>
                <w:sz w:val="22"/>
                <w:szCs w:val="22"/>
                <w:highlight w:val="none"/>
              </w:rPr>
              <w:t>表1中：珠光体+铁素体，是否应改为珠光体</w:t>
            </w:r>
          </w:p>
        </w:tc>
        <w:tc>
          <w:tcPr>
            <w:tcW w:w="31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auto"/>
                <w:sz w:val="22"/>
                <w:szCs w:val="22"/>
                <w:highlight w:val="none"/>
              </w:rPr>
            </w:pPr>
            <w:r>
              <w:rPr>
                <w:rFonts w:hint="eastAsia" w:ascii="宋体" w:hAnsi="宋体" w:eastAsia="宋体" w:cs="宋体"/>
                <w:color w:val="auto"/>
                <w:kern w:val="0"/>
                <w:sz w:val="22"/>
                <w:szCs w:val="22"/>
                <w:highlight w:val="none"/>
              </w:rPr>
              <w:t>未采纳，标准中以拉伸性能作为验收主要指标，删除了基体组织一栏。</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trike/>
                <w:color w:val="auto"/>
                <w:sz w:val="22"/>
                <w:szCs w:val="22"/>
                <w:highlight w:val="none"/>
              </w:rPr>
            </w:pPr>
          </w:p>
        </w:tc>
      </w:tr>
      <w:tr>
        <w:tblPrEx>
          <w:tblCellMar>
            <w:top w:w="0" w:type="dxa"/>
            <w:left w:w="108" w:type="dxa"/>
            <w:bottom w:w="0" w:type="dxa"/>
            <w:right w:w="108" w:type="dxa"/>
          </w:tblCellMar>
        </w:tblPrEx>
        <w:trPr>
          <w:trHeight w:val="1055" w:hRule="atLeast"/>
        </w:trPr>
        <w:tc>
          <w:tcPr>
            <w:tcW w:w="5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2"/>
                <w:szCs w:val="22"/>
                <w:highlight w:val="none"/>
              </w:rPr>
            </w:pPr>
            <w:r>
              <w:rPr>
                <w:rFonts w:hint="eastAsia" w:ascii="宋体" w:hAnsi="宋体" w:eastAsia="宋体" w:cs="宋体"/>
                <w:color w:val="auto"/>
                <w:kern w:val="0"/>
                <w:sz w:val="22"/>
                <w:szCs w:val="22"/>
                <w:highlight w:val="none"/>
              </w:rPr>
              <w:t>9</w:t>
            </w:r>
          </w:p>
        </w:tc>
        <w:tc>
          <w:tcPr>
            <w:tcW w:w="5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2"/>
                <w:szCs w:val="22"/>
                <w:highlight w:val="none"/>
              </w:rPr>
            </w:pPr>
            <w:r>
              <w:rPr>
                <w:rFonts w:hint="eastAsia" w:ascii="宋体" w:hAnsi="宋体" w:eastAsia="宋体" w:cs="宋体"/>
                <w:color w:val="auto"/>
                <w:kern w:val="0"/>
                <w:sz w:val="22"/>
                <w:szCs w:val="22"/>
                <w:highlight w:val="none"/>
              </w:rPr>
              <w:t>B</w:t>
            </w:r>
          </w:p>
        </w:tc>
        <w:tc>
          <w:tcPr>
            <w:tcW w:w="26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2"/>
                <w:szCs w:val="22"/>
                <w:highlight w:val="none"/>
              </w:rPr>
            </w:pPr>
            <w:r>
              <w:rPr>
                <w:rFonts w:hint="eastAsia" w:ascii="宋体" w:hAnsi="宋体" w:eastAsia="宋体" w:cs="宋体"/>
                <w:color w:val="auto"/>
                <w:kern w:val="0"/>
                <w:sz w:val="22"/>
                <w:szCs w:val="22"/>
                <w:highlight w:val="none"/>
              </w:rPr>
              <w:t>6.5基体组织主要为球状石墨+细片状珠光体，建议改为细片状珠光体</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2"/>
                <w:szCs w:val="22"/>
                <w:highlight w:val="none"/>
              </w:rPr>
            </w:pPr>
            <w:r>
              <w:rPr>
                <w:rFonts w:hint="eastAsia" w:ascii="宋体" w:hAnsi="宋体" w:eastAsia="宋体" w:cs="宋体"/>
                <w:color w:val="auto"/>
                <w:kern w:val="0"/>
                <w:sz w:val="22"/>
                <w:szCs w:val="22"/>
                <w:highlight w:val="none"/>
              </w:rPr>
              <w:t>未采纳，修改为：高强度高塑性球墨铸铁的基体组织应以珠光体为主。</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auto"/>
                <w:sz w:val="22"/>
                <w:szCs w:val="22"/>
                <w:highlight w:val="none"/>
              </w:rPr>
            </w:pPr>
            <w:r>
              <w:rPr>
                <w:rFonts w:hint="eastAsia" w:ascii="宋体" w:hAnsi="宋体" w:eastAsia="宋体" w:cs="宋体"/>
                <w:color w:val="auto"/>
                <w:kern w:val="0"/>
                <w:sz w:val="22"/>
                <w:szCs w:val="22"/>
                <w:highlight w:val="none"/>
              </w:rPr>
              <w:t>根据通用性</w:t>
            </w:r>
          </w:p>
        </w:tc>
      </w:tr>
      <w:tr>
        <w:tblPrEx>
          <w:tblCellMar>
            <w:top w:w="0" w:type="dxa"/>
            <w:left w:w="108" w:type="dxa"/>
            <w:bottom w:w="0" w:type="dxa"/>
            <w:right w:w="108" w:type="dxa"/>
          </w:tblCellMar>
        </w:tblPrEx>
        <w:trPr>
          <w:trHeight w:val="1822" w:hRule="atLeast"/>
        </w:trPr>
        <w:tc>
          <w:tcPr>
            <w:tcW w:w="5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2"/>
                <w:szCs w:val="22"/>
                <w:highlight w:val="none"/>
              </w:rPr>
            </w:pPr>
            <w:r>
              <w:rPr>
                <w:rFonts w:hint="eastAsia" w:ascii="宋体" w:hAnsi="宋体" w:eastAsia="宋体" w:cs="宋体"/>
                <w:color w:val="auto"/>
                <w:kern w:val="0"/>
                <w:sz w:val="22"/>
                <w:szCs w:val="22"/>
                <w:highlight w:val="none"/>
              </w:rPr>
              <w:t>10</w:t>
            </w:r>
          </w:p>
        </w:tc>
        <w:tc>
          <w:tcPr>
            <w:tcW w:w="5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2"/>
                <w:szCs w:val="22"/>
                <w:highlight w:val="none"/>
              </w:rPr>
            </w:pPr>
            <w:r>
              <w:rPr>
                <w:rFonts w:hint="eastAsia" w:ascii="宋体" w:hAnsi="宋体" w:eastAsia="宋体" w:cs="宋体"/>
                <w:color w:val="auto"/>
                <w:kern w:val="0"/>
                <w:sz w:val="22"/>
                <w:szCs w:val="22"/>
                <w:highlight w:val="none"/>
              </w:rPr>
              <w:t>B</w:t>
            </w:r>
          </w:p>
        </w:tc>
        <w:tc>
          <w:tcPr>
            <w:tcW w:w="26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2"/>
                <w:szCs w:val="22"/>
                <w:highlight w:val="none"/>
              </w:rPr>
            </w:pPr>
            <w:r>
              <w:rPr>
                <w:rFonts w:hint="eastAsia" w:ascii="宋体" w:hAnsi="宋体" w:eastAsia="宋体" w:cs="宋体"/>
                <w:color w:val="auto"/>
                <w:kern w:val="0"/>
                <w:sz w:val="22"/>
                <w:szCs w:val="22"/>
                <w:highlight w:val="none"/>
              </w:rPr>
              <w:t>6.5铸件某些断面的冷却速度可能不足以完全避免珠光体或其他高温转变组织的形成，这些显微组织的最大值及其拉伸性能可由供需双方商定。描述模糊</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2"/>
                <w:szCs w:val="22"/>
                <w:highlight w:val="none"/>
              </w:rPr>
            </w:pPr>
            <w:r>
              <w:rPr>
                <w:rFonts w:hint="eastAsia" w:ascii="宋体" w:hAnsi="宋体" w:eastAsia="宋体" w:cs="宋体"/>
                <w:color w:val="auto"/>
                <w:kern w:val="0"/>
                <w:sz w:val="22"/>
                <w:szCs w:val="22"/>
                <w:highlight w:val="none"/>
              </w:rPr>
              <w:t>未采纳，修改为：删除这部分描述，只保留：高强度高塑性球墨铸铁的基体组织应以珠光体为主。</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auto"/>
                <w:sz w:val="22"/>
                <w:szCs w:val="22"/>
                <w:highlight w:val="none"/>
              </w:rPr>
            </w:pPr>
          </w:p>
        </w:tc>
      </w:tr>
      <w:tr>
        <w:tblPrEx>
          <w:tblCellMar>
            <w:top w:w="0" w:type="dxa"/>
            <w:left w:w="108" w:type="dxa"/>
            <w:bottom w:w="0" w:type="dxa"/>
            <w:right w:w="108" w:type="dxa"/>
          </w:tblCellMar>
        </w:tblPrEx>
        <w:trPr>
          <w:trHeight w:val="916" w:hRule="atLeast"/>
        </w:trPr>
        <w:tc>
          <w:tcPr>
            <w:tcW w:w="5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2"/>
                <w:szCs w:val="22"/>
                <w:highlight w:val="none"/>
              </w:rPr>
            </w:pPr>
            <w:r>
              <w:rPr>
                <w:rFonts w:hint="eastAsia" w:ascii="宋体" w:hAnsi="宋体" w:eastAsia="宋体" w:cs="宋体"/>
                <w:color w:val="auto"/>
                <w:kern w:val="0"/>
                <w:sz w:val="22"/>
                <w:szCs w:val="22"/>
                <w:highlight w:val="none"/>
              </w:rPr>
              <w:t>11</w:t>
            </w:r>
          </w:p>
        </w:tc>
        <w:tc>
          <w:tcPr>
            <w:tcW w:w="5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2"/>
                <w:szCs w:val="22"/>
                <w:highlight w:val="none"/>
              </w:rPr>
            </w:pPr>
            <w:r>
              <w:rPr>
                <w:rFonts w:hint="eastAsia" w:ascii="宋体" w:hAnsi="宋体" w:eastAsia="宋体" w:cs="宋体"/>
                <w:color w:val="auto"/>
                <w:kern w:val="0"/>
                <w:sz w:val="22"/>
                <w:szCs w:val="22"/>
                <w:highlight w:val="none"/>
              </w:rPr>
              <w:t>C</w:t>
            </w:r>
          </w:p>
        </w:tc>
        <w:tc>
          <w:tcPr>
            <w:tcW w:w="26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2"/>
                <w:szCs w:val="22"/>
                <w:highlight w:val="none"/>
              </w:rPr>
            </w:pPr>
            <w:r>
              <w:rPr>
                <w:rFonts w:hint="eastAsia" w:ascii="宋体" w:hAnsi="宋体" w:eastAsia="宋体" w:cs="宋体"/>
                <w:color w:val="auto"/>
                <w:kern w:val="0"/>
                <w:sz w:val="22"/>
                <w:szCs w:val="22"/>
                <w:highlight w:val="none"/>
              </w:rPr>
              <w:t>表1中：QT700-10，基体组织铸态建议改为：铸态或正火态</w:t>
            </w:r>
          </w:p>
        </w:tc>
        <w:tc>
          <w:tcPr>
            <w:tcW w:w="31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auto"/>
                <w:sz w:val="22"/>
                <w:szCs w:val="22"/>
                <w:highlight w:val="none"/>
              </w:rPr>
            </w:pPr>
            <w:r>
              <w:rPr>
                <w:rFonts w:hint="eastAsia" w:ascii="宋体" w:hAnsi="宋体" w:eastAsia="宋体" w:cs="宋体"/>
                <w:color w:val="auto"/>
                <w:kern w:val="0"/>
                <w:sz w:val="22"/>
                <w:szCs w:val="22"/>
                <w:highlight w:val="none"/>
              </w:rPr>
              <w:t>未采纳，标准中以拉伸性能作为验收主要指标，删除了基体组织组织一栏。</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auto"/>
                <w:sz w:val="22"/>
                <w:szCs w:val="22"/>
                <w:highlight w:val="none"/>
              </w:rPr>
            </w:pPr>
          </w:p>
        </w:tc>
      </w:tr>
      <w:tr>
        <w:tblPrEx>
          <w:tblCellMar>
            <w:top w:w="0" w:type="dxa"/>
            <w:left w:w="108" w:type="dxa"/>
            <w:bottom w:w="0" w:type="dxa"/>
            <w:right w:w="108" w:type="dxa"/>
          </w:tblCellMar>
        </w:tblPrEx>
        <w:trPr>
          <w:trHeight w:val="359" w:hRule="atLeast"/>
        </w:trPr>
        <w:tc>
          <w:tcPr>
            <w:tcW w:w="5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2"/>
                <w:szCs w:val="22"/>
                <w:highlight w:val="none"/>
              </w:rPr>
            </w:pPr>
            <w:r>
              <w:rPr>
                <w:rFonts w:hint="eastAsia" w:ascii="宋体" w:hAnsi="宋体" w:eastAsia="宋体" w:cs="宋体"/>
                <w:color w:val="auto"/>
                <w:kern w:val="0"/>
                <w:sz w:val="22"/>
                <w:szCs w:val="22"/>
                <w:highlight w:val="none"/>
              </w:rPr>
              <w:t>12</w:t>
            </w:r>
          </w:p>
        </w:tc>
        <w:tc>
          <w:tcPr>
            <w:tcW w:w="5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2"/>
                <w:szCs w:val="22"/>
                <w:highlight w:val="none"/>
              </w:rPr>
            </w:pPr>
            <w:r>
              <w:rPr>
                <w:rFonts w:hint="eastAsia" w:ascii="宋体" w:hAnsi="宋体" w:eastAsia="宋体" w:cs="宋体"/>
                <w:color w:val="auto"/>
                <w:kern w:val="0"/>
                <w:sz w:val="22"/>
                <w:szCs w:val="22"/>
                <w:highlight w:val="none"/>
              </w:rPr>
              <w:t>D</w:t>
            </w:r>
          </w:p>
        </w:tc>
        <w:tc>
          <w:tcPr>
            <w:tcW w:w="26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2"/>
                <w:szCs w:val="22"/>
                <w:highlight w:val="none"/>
              </w:rPr>
            </w:pPr>
            <w:r>
              <w:rPr>
                <w:rFonts w:hint="eastAsia" w:ascii="宋体" w:hAnsi="宋体" w:eastAsia="宋体" w:cs="宋体"/>
                <w:color w:val="auto"/>
                <w:kern w:val="0"/>
                <w:sz w:val="22"/>
                <w:szCs w:val="22"/>
                <w:highlight w:val="none"/>
              </w:rPr>
              <w:t>本标准建议改为本文件</w:t>
            </w:r>
          </w:p>
        </w:tc>
        <w:tc>
          <w:tcPr>
            <w:tcW w:w="31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auto"/>
                <w:sz w:val="22"/>
                <w:szCs w:val="22"/>
                <w:highlight w:val="none"/>
              </w:rPr>
            </w:pPr>
            <w:r>
              <w:rPr>
                <w:rFonts w:hint="eastAsia" w:ascii="宋体" w:hAnsi="宋体" w:eastAsia="宋体" w:cs="宋体"/>
                <w:color w:val="auto"/>
                <w:kern w:val="0"/>
                <w:sz w:val="22"/>
                <w:szCs w:val="22"/>
                <w:highlight w:val="none"/>
              </w:rPr>
              <w:t>采纳</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auto"/>
                <w:sz w:val="22"/>
                <w:szCs w:val="22"/>
                <w:highlight w:val="none"/>
              </w:rPr>
            </w:pPr>
          </w:p>
        </w:tc>
      </w:tr>
      <w:tr>
        <w:tblPrEx>
          <w:tblCellMar>
            <w:top w:w="0" w:type="dxa"/>
            <w:left w:w="108" w:type="dxa"/>
            <w:bottom w:w="0" w:type="dxa"/>
            <w:right w:w="108" w:type="dxa"/>
          </w:tblCellMar>
        </w:tblPrEx>
        <w:trPr>
          <w:trHeight w:val="436" w:hRule="atLeast"/>
        </w:trPr>
        <w:tc>
          <w:tcPr>
            <w:tcW w:w="5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2"/>
                <w:szCs w:val="22"/>
                <w:highlight w:val="none"/>
              </w:rPr>
            </w:pPr>
            <w:r>
              <w:rPr>
                <w:rFonts w:hint="eastAsia" w:ascii="宋体" w:hAnsi="宋体" w:eastAsia="宋体" w:cs="宋体"/>
                <w:color w:val="auto"/>
                <w:kern w:val="0"/>
                <w:sz w:val="22"/>
                <w:szCs w:val="22"/>
                <w:highlight w:val="none"/>
              </w:rPr>
              <w:t>13</w:t>
            </w:r>
          </w:p>
        </w:tc>
        <w:tc>
          <w:tcPr>
            <w:tcW w:w="5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2"/>
                <w:szCs w:val="22"/>
                <w:highlight w:val="none"/>
              </w:rPr>
            </w:pPr>
            <w:r>
              <w:rPr>
                <w:rFonts w:hint="eastAsia" w:ascii="宋体" w:hAnsi="宋体" w:eastAsia="宋体" w:cs="宋体"/>
                <w:color w:val="auto"/>
                <w:kern w:val="0"/>
                <w:sz w:val="22"/>
                <w:szCs w:val="22"/>
                <w:highlight w:val="none"/>
              </w:rPr>
              <w:t>D</w:t>
            </w:r>
          </w:p>
        </w:tc>
        <w:tc>
          <w:tcPr>
            <w:tcW w:w="26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2"/>
                <w:szCs w:val="22"/>
                <w:highlight w:val="none"/>
              </w:rPr>
            </w:pPr>
            <w:r>
              <w:rPr>
                <w:rFonts w:hint="eastAsia" w:ascii="宋体" w:hAnsi="宋体" w:eastAsia="宋体" w:cs="宋体"/>
                <w:color w:val="auto"/>
                <w:kern w:val="0"/>
                <w:sz w:val="22"/>
                <w:szCs w:val="22"/>
                <w:highlight w:val="none"/>
              </w:rPr>
              <w:t>错别字、个别描述、序号等</w:t>
            </w:r>
          </w:p>
        </w:tc>
        <w:tc>
          <w:tcPr>
            <w:tcW w:w="31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auto"/>
                <w:sz w:val="22"/>
                <w:szCs w:val="22"/>
                <w:highlight w:val="none"/>
              </w:rPr>
            </w:pPr>
            <w:r>
              <w:rPr>
                <w:rFonts w:hint="eastAsia" w:ascii="宋体" w:hAnsi="宋体" w:eastAsia="宋体" w:cs="宋体"/>
                <w:color w:val="auto"/>
                <w:kern w:val="0"/>
                <w:sz w:val="22"/>
                <w:szCs w:val="22"/>
                <w:highlight w:val="none"/>
              </w:rPr>
              <w:t>采纳</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auto"/>
                <w:sz w:val="22"/>
                <w:szCs w:val="22"/>
                <w:highlight w:val="none"/>
              </w:rPr>
            </w:pPr>
          </w:p>
        </w:tc>
      </w:tr>
      <w:tr>
        <w:tblPrEx>
          <w:tblCellMar>
            <w:top w:w="0" w:type="dxa"/>
            <w:left w:w="108" w:type="dxa"/>
            <w:bottom w:w="0" w:type="dxa"/>
            <w:right w:w="108" w:type="dxa"/>
          </w:tblCellMar>
        </w:tblPrEx>
        <w:trPr>
          <w:trHeight w:val="916" w:hRule="atLeast"/>
        </w:trPr>
        <w:tc>
          <w:tcPr>
            <w:tcW w:w="5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2"/>
                <w:szCs w:val="22"/>
                <w:highlight w:val="none"/>
              </w:rPr>
            </w:pPr>
            <w:r>
              <w:rPr>
                <w:rFonts w:hint="eastAsia" w:ascii="宋体" w:hAnsi="宋体" w:eastAsia="宋体" w:cs="宋体"/>
                <w:color w:val="auto"/>
                <w:kern w:val="0"/>
                <w:sz w:val="22"/>
                <w:szCs w:val="22"/>
                <w:highlight w:val="none"/>
              </w:rPr>
              <w:t>14</w:t>
            </w:r>
          </w:p>
        </w:tc>
        <w:tc>
          <w:tcPr>
            <w:tcW w:w="5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2"/>
                <w:szCs w:val="22"/>
                <w:highlight w:val="none"/>
              </w:rPr>
            </w:pPr>
            <w:r>
              <w:rPr>
                <w:rFonts w:hint="eastAsia" w:ascii="宋体" w:hAnsi="宋体" w:eastAsia="宋体" w:cs="宋体"/>
                <w:color w:val="auto"/>
                <w:kern w:val="0"/>
                <w:sz w:val="22"/>
                <w:szCs w:val="22"/>
                <w:highlight w:val="none"/>
              </w:rPr>
              <w:t>E</w:t>
            </w:r>
          </w:p>
        </w:tc>
        <w:tc>
          <w:tcPr>
            <w:tcW w:w="26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2"/>
                <w:szCs w:val="22"/>
                <w:highlight w:val="none"/>
              </w:rPr>
            </w:pPr>
            <w:r>
              <w:rPr>
                <w:rFonts w:hint="eastAsia" w:ascii="宋体" w:hAnsi="宋体" w:eastAsia="宋体" w:cs="宋体"/>
                <w:color w:val="auto"/>
                <w:kern w:val="0"/>
                <w:sz w:val="22"/>
                <w:szCs w:val="22"/>
                <w:highlight w:val="none"/>
              </w:rPr>
              <w:t>标准名称范围：建议改为“高强度高塑性珠光体球墨铸铁件”</w:t>
            </w:r>
          </w:p>
        </w:tc>
        <w:tc>
          <w:tcPr>
            <w:tcW w:w="31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auto"/>
                <w:sz w:val="22"/>
                <w:szCs w:val="22"/>
                <w:highlight w:val="none"/>
              </w:rPr>
            </w:pPr>
            <w:r>
              <w:rPr>
                <w:rFonts w:hint="eastAsia" w:ascii="宋体" w:hAnsi="宋体" w:eastAsia="宋体" w:cs="宋体"/>
                <w:color w:val="auto"/>
                <w:kern w:val="0"/>
                <w:sz w:val="22"/>
                <w:szCs w:val="22"/>
                <w:highlight w:val="none"/>
              </w:rPr>
              <w:t>未</w:t>
            </w:r>
            <w:r>
              <w:rPr>
                <w:rStyle w:val="19"/>
                <w:rFonts w:hint="default"/>
                <w:color w:val="auto"/>
                <w:highlight w:val="none"/>
              </w:rPr>
              <w:t>采纳，</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auto"/>
                <w:sz w:val="22"/>
                <w:szCs w:val="22"/>
                <w:highlight w:val="none"/>
              </w:rPr>
            </w:pPr>
            <w:r>
              <w:rPr>
                <w:rFonts w:hint="eastAsia" w:ascii="宋体" w:hAnsi="宋体" w:eastAsia="宋体" w:cs="宋体"/>
                <w:color w:val="auto"/>
                <w:kern w:val="0"/>
                <w:sz w:val="22"/>
                <w:szCs w:val="22"/>
                <w:highlight w:val="none"/>
              </w:rPr>
              <w:t>根据通用性</w:t>
            </w:r>
          </w:p>
        </w:tc>
      </w:tr>
      <w:tr>
        <w:tblPrEx>
          <w:tblCellMar>
            <w:top w:w="0" w:type="dxa"/>
            <w:left w:w="108" w:type="dxa"/>
            <w:bottom w:w="0" w:type="dxa"/>
            <w:right w:w="108" w:type="dxa"/>
          </w:tblCellMar>
        </w:tblPrEx>
        <w:trPr>
          <w:trHeight w:val="804" w:hRule="atLeast"/>
        </w:trPr>
        <w:tc>
          <w:tcPr>
            <w:tcW w:w="5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2"/>
                <w:szCs w:val="22"/>
                <w:highlight w:val="none"/>
              </w:rPr>
            </w:pPr>
            <w:r>
              <w:rPr>
                <w:rFonts w:hint="eastAsia" w:ascii="宋体" w:hAnsi="宋体" w:eastAsia="宋体" w:cs="宋体"/>
                <w:color w:val="auto"/>
                <w:kern w:val="0"/>
                <w:sz w:val="22"/>
                <w:szCs w:val="22"/>
                <w:highlight w:val="none"/>
              </w:rPr>
              <w:t>15</w:t>
            </w:r>
          </w:p>
        </w:tc>
        <w:tc>
          <w:tcPr>
            <w:tcW w:w="5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2"/>
                <w:szCs w:val="22"/>
                <w:highlight w:val="none"/>
              </w:rPr>
            </w:pPr>
            <w:r>
              <w:rPr>
                <w:rFonts w:hint="eastAsia" w:ascii="宋体" w:hAnsi="宋体" w:eastAsia="宋体" w:cs="宋体"/>
                <w:color w:val="auto"/>
                <w:kern w:val="0"/>
                <w:sz w:val="22"/>
                <w:szCs w:val="22"/>
                <w:highlight w:val="none"/>
              </w:rPr>
              <w:t>E</w:t>
            </w:r>
          </w:p>
        </w:tc>
        <w:tc>
          <w:tcPr>
            <w:tcW w:w="26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2"/>
                <w:szCs w:val="22"/>
                <w:highlight w:val="none"/>
              </w:rPr>
            </w:pPr>
            <w:r>
              <w:rPr>
                <w:rFonts w:hint="eastAsia" w:ascii="宋体" w:hAnsi="宋体" w:eastAsia="宋体" w:cs="宋体"/>
                <w:color w:val="auto"/>
                <w:kern w:val="0"/>
                <w:sz w:val="22"/>
                <w:szCs w:val="22"/>
                <w:highlight w:val="none"/>
              </w:rPr>
              <w:t>冲击值注明“无缺口”</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2"/>
                <w:szCs w:val="22"/>
                <w:highlight w:val="none"/>
              </w:rPr>
            </w:pPr>
            <w:r>
              <w:rPr>
                <w:rFonts w:hint="eastAsia" w:ascii="宋体" w:hAnsi="宋体" w:eastAsia="宋体" w:cs="宋体"/>
                <w:color w:val="auto"/>
                <w:kern w:val="0"/>
                <w:sz w:val="22"/>
                <w:szCs w:val="22"/>
                <w:highlight w:val="none"/>
              </w:rPr>
              <w:t>未采纳，高强度球墨铸铁一般不要求冲击性能，删除了</w:t>
            </w:r>
            <w:r>
              <w:rPr>
                <w:rStyle w:val="18"/>
                <w:rFonts w:hint="default"/>
                <w:color w:val="auto"/>
                <w:highlight w:val="none"/>
              </w:rPr>
              <w:t>冲击性能要求</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auto"/>
                <w:sz w:val="22"/>
                <w:szCs w:val="22"/>
                <w:highlight w:val="none"/>
              </w:rPr>
            </w:pPr>
          </w:p>
        </w:tc>
      </w:tr>
      <w:tr>
        <w:tblPrEx>
          <w:tblCellMar>
            <w:top w:w="0" w:type="dxa"/>
            <w:left w:w="108" w:type="dxa"/>
            <w:bottom w:w="0" w:type="dxa"/>
            <w:right w:w="108" w:type="dxa"/>
          </w:tblCellMar>
        </w:tblPrEx>
        <w:trPr>
          <w:trHeight w:val="1832" w:hRule="atLeast"/>
        </w:trPr>
        <w:tc>
          <w:tcPr>
            <w:tcW w:w="5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2"/>
                <w:szCs w:val="22"/>
                <w:highlight w:val="none"/>
              </w:rPr>
            </w:pPr>
            <w:r>
              <w:rPr>
                <w:rFonts w:hint="eastAsia" w:ascii="宋体" w:hAnsi="宋体" w:eastAsia="宋体" w:cs="宋体"/>
                <w:color w:val="auto"/>
                <w:kern w:val="0"/>
                <w:sz w:val="22"/>
                <w:szCs w:val="22"/>
                <w:highlight w:val="none"/>
              </w:rPr>
              <w:t>16</w:t>
            </w:r>
          </w:p>
        </w:tc>
        <w:tc>
          <w:tcPr>
            <w:tcW w:w="5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2"/>
                <w:szCs w:val="22"/>
                <w:highlight w:val="none"/>
              </w:rPr>
            </w:pPr>
            <w:r>
              <w:rPr>
                <w:rFonts w:hint="eastAsia" w:ascii="宋体" w:hAnsi="宋体" w:eastAsia="宋体" w:cs="宋体"/>
                <w:color w:val="auto"/>
                <w:kern w:val="0"/>
                <w:sz w:val="22"/>
                <w:szCs w:val="22"/>
                <w:highlight w:val="none"/>
              </w:rPr>
              <w:t>E</w:t>
            </w:r>
          </w:p>
        </w:tc>
        <w:tc>
          <w:tcPr>
            <w:tcW w:w="26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2"/>
                <w:szCs w:val="22"/>
                <w:highlight w:val="none"/>
              </w:rPr>
            </w:pPr>
            <w:r>
              <w:rPr>
                <w:rFonts w:hint="eastAsia" w:ascii="宋体" w:hAnsi="宋体" w:eastAsia="宋体" w:cs="宋体"/>
                <w:color w:val="auto"/>
                <w:kern w:val="0"/>
                <w:sz w:val="22"/>
                <w:szCs w:val="22"/>
                <w:highlight w:val="none"/>
              </w:rPr>
              <w:t>抗拉强度800MPa以上伸长率建议用5%</w:t>
            </w:r>
          </w:p>
        </w:tc>
        <w:tc>
          <w:tcPr>
            <w:tcW w:w="31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auto"/>
                <w:sz w:val="22"/>
                <w:szCs w:val="22"/>
                <w:highlight w:val="none"/>
              </w:rPr>
            </w:pPr>
            <w:r>
              <w:rPr>
                <w:rFonts w:hint="eastAsia" w:ascii="宋体" w:hAnsi="宋体" w:eastAsia="宋体" w:cs="宋体"/>
                <w:color w:val="auto"/>
                <w:kern w:val="0"/>
                <w:sz w:val="22"/>
                <w:szCs w:val="22"/>
                <w:highlight w:val="none"/>
              </w:rPr>
              <w:t>采纳</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2"/>
                <w:szCs w:val="22"/>
                <w:highlight w:val="none"/>
              </w:rPr>
            </w:pPr>
            <w:r>
              <w:rPr>
                <w:rFonts w:hint="eastAsia" w:ascii="宋体" w:hAnsi="宋体" w:eastAsia="宋体" w:cs="宋体"/>
                <w:color w:val="auto"/>
                <w:kern w:val="0"/>
                <w:sz w:val="22"/>
                <w:szCs w:val="22"/>
                <w:highlight w:val="none"/>
              </w:rPr>
              <w:t>教科书也描述“工程材料通常把延伸率大于5%，称为塑性材料”</w:t>
            </w:r>
          </w:p>
        </w:tc>
      </w:tr>
    </w:tbl>
    <w:p>
      <w:pPr>
        <w:spacing w:before="156" w:beforeLines="50" w:after="156" w:afterLines="50" w:line="440" w:lineRule="exact"/>
        <w:ind w:firstLine="480" w:firstLineChars="200"/>
        <w:outlineLvl w:val="0"/>
        <w:rPr>
          <w:rFonts w:hAnsi="宋体" w:eastAsia="宋体"/>
          <w:color w:val="auto"/>
          <w:sz w:val="24"/>
          <w:highlight w:val="none"/>
        </w:rPr>
      </w:pPr>
      <w:r>
        <w:rPr>
          <w:rFonts w:hint="eastAsia" w:hAnsi="宋体" w:eastAsia="宋体"/>
          <w:color w:val="auto"/>
          <w:sz w:val="24"/>
          <w:highlight w:val="none"/>
        </w:rPr>
        <w:t>2</w:t>
      </w:r>
      <w:r>
        <w:rPr>
          <w:rFonts w:hAnsi="宋体" w:eastAsia="宋体"/>
          <w:color w:val="auto"/>
          <w:sz w:val="24"/>
          <w:highlight w:val="none"/>
        </w:rPr>
        <w:t>022.1</w:t>
      </w:r>
      <w:r>
        <w:rPr>
          <w:rFonts w:hint="eastAsia" w:hAnsi="宋体" w:eastAsia="宋体"/>
          <w:color w:val="auto"/>
          <w:sz w:val="24"/>
          <w:highlight w:val="none"/>
        </w:rPr>
        <w:t>月底前，在本标准的研讨微信群中陆续收到山东宇信铸业、湖北普尔精密科技有限公司、东风商用车有限公司东风商用车技术中心、江苏汤臣汽车零部件有限公司、山西东鑫衡隆机械制造股份有限公司等单位为本标准的编制提供的生产性验证数据。</w:t>
      </w:r>
    </w:p>
    <w:p>
      <w:pPr>
        <w:spacing w:before="156" w:beforeLines="50" w:after="156" w:afterLines="50" w:line="440" w:lineRule="exact"/>
        <w:ind w:firstLine="480" w:firstLineChars="200"/>
        <w:outlineLvl w:val="0"/>
        <w:rPr>
          <w:rFonts w:ascii="黑体" w:hAnsi="黑体" w:eastAsia="黑体"/>
          <w:color w:val="auto"/>
          <w:sz w:val="24"/>
          <w:szCs w:val="24"/>
          <w:highlight w:val="none"/>
        </w:rPr>
      </w:pPr>
      <w:r>
        <w:rPr>
          <w:rFonts w:hint="eastAsia" w:ascii="黑体" w:hAnsi="黑体" w:eastAsia="黑体"/>
          <w:color w:val="auto"/>
          <w:sz w:val="24"/>
          <w:szCs w:val="24"/>
          <w:highlight w:val="none"/>
        </w:rPr>
        <w:t>（2）</w:t>
      </w:r>
      <w:r>
        <w:rPr>
          <w:rFonts w:ascii="黑体" w:hAnsi="黑体" w:eastAsia="黑体"/>
          <w:color w:val="auto"/>
          <w:sz w:val="24"/>
          <w:szCs w:val="24"/>
          <w:highlight w:val="none"/>
        </w:rPr>
        <w:t>征求意见阶段</w:t>
      </w:r>
      <w:r>
        <w:rPr>
          <w:rFonts w:hint="eastAsia" w:ascii="黑体" w:hAnsi="黑体" w:eastAsia="黑体"/>
          <w:color w:val="auto"/>
          <w:sz w:val="24"/>
          <w:szCs w:val="24"/>
          <w:highlight w:val="none"/>
        </w:rPr>
        <w:t>（应描述清楚征求意见反馈情况）</w:t>
      </w:r>
      <w:r>
        <w:rPr>
          <w:rFonts w:ascii="黑体" w:hAnsi="黑体" w:eastAsia="黑体"/>
          <w:color w:val="auto"/>
          <w:sz w:val="24"/>
          <w:szCs w:val="24"/>
          <w:highlight w:val="none"/>
        </w:rPr>
        <w:t>：</w:t>
      </w:r>
    </w:p>
    <w:p>
      <w:pPr>
        <w:spacing w:before="156" w:beforeLines="50" w:after="156" w:afterLines="50" w:line="440" w:lineRule="exact"/>
        <w:ind w:firstLine="480" w:firstLineChars="200"/>
        <w:outlineLvl w:val="0"/>
        <w:rPr>
          <w:rFonts w:hint="default" w:hAnsi="宋体" w:eastAsia="宋体"/>
          <w:color w:val="auto"/>
          <w:sz w:val="24"/>
          <w:highlight w:val="none"/>
          <w:lang w:val="en-US" w:eastAsia="zh-CN"/>
        </w:rPr>
      </w:pPr>
      <w:r>
        <w:rPr>
          <w:rFonts w:ascii="黑体" w:hAnsi="黑体" w:eastAsia="黑体"/>
          <w:color w:val="auto"/>
          <w:sz w:val="24"/>
          <w:szCs w:val="24"/>
          <w:highlight w:val="none"/>
        </w:rPr>
        <w:t>2</w:t>
      </w:r>
      <w:r>
        <w:rPr>
          <w:rFonts w:hAnsi="宋体" w:eastAsia="宋体"/>
          <w:color w:val="auto"/>
          <w:sz w:val="24"/>
          <w:highlight w:val="none"/>
        </w:rPr>
        <w:t>022</w:t>
      </w:r>
      <w:r>
        <w:rPr>
          <w:rFonts w:hint="eastAsia" w:hAnsi="宋体" w:eastAsia="宋体"/>
          <w:color w:val="auto"/>
          <w:sz w:val="24"/>
          <w:highlight w:val="none"/>
        </w:rPr>
        <w:t>年4月</w:t>
      </w:r>
      <w:r>
        <w:rPr>
          <w:rFonts w:hAnsi="宋体" w:eastAsia="宋体"/>
          <w:color w:val="auto"/>
          <w:sz w:val="24"/>
          <w:highlight w:val="none"/>
        </w:rPr>
        <w:t>6</w:t>
      </w:r>
      <w:r>
        <w:rPr>
          <w:rFonts w:hint="eastAsia" w:hAnsi="宋体" w:eastAsia="宋体"/>
          <w:color w:val="auto"/>
          <w:sz w:val="24"/>
          <w:highlight w:val="none"/>
        </w:rPr>
        <w:t>日，中铸协标准委在本标准的研讨微信群中发出对本标准征求意见稿的征求意见。共收到</w:t>
      </w:r>
      <w:r>
        <w:rPr>
          <w:rFonts w:hAnsi="宋体" w:eastAsia="宋体"/>
          <w:color w:val="auto"/>
          <w:sz w:val="24"/>
          <w:highlight w:val="none"/>
        </w:rPr>
        <w:t>16</w:t>
      </w:r>
      <w:r>
        <w:rPr>
          <w:rFonts w:hint="eastAsia" w:hAnsi="宋体" w:eastAsia="宋体"/>
          <w:color w:val="auto"/>
          <w:sz w:val="24"/>
          <w:highlight w:val="none"/>
        </w:rPr>
        <w:t>条意见，其中采纳</w:t>
      </w:r>
      <w:r>
        <w:rPr>
          <w:rFonts w:hAnsi="宋体" w:eastAsia="宋体"/>
          <w:color w:val="auto"/>
          <w:sz w:val="24"/>
          <w:highlight w:val="none"/>
        </w:rPr>
        <w:t>9</w:t>
      </w:r>
      <w:r>
        <w:rPr>
          <w:rFonts w:hint="eastAsia" w:hAnsi="宋体" w:eastAsia="宋体"/>
          <w:color w:val="auto"/>
          <w:sz w:val="24"/>
          <w:highlight w:val="none"/>
        </w:rPr>
        <w:t>条，未采纳</w:t>
      </w:r>
      <w:r>
        <w:rPr>
          <w:rFonts w:hAnsi="宋体" w:eastAsia="宋体"/>
          <w:color w:val="auto"/>
          <w:sz w:val="24"/>
          <w:highlight w:val="none"/>
        </w:rPr>
        <w:t>4</w:t>
      </w:r>
      <w:r>
        <w:rPr>
          <w:rFonts w:hint="eastAsia" w:hAnsi="宋体" w:eastAsia="宋体"/>
          <w:color w:val="auto"/>
          <w:sz w:val="24"/>
          <w:highlight w:val="none"/>
        </w:rPr>
        <w:t>条。</w:t>
      </w:r>
      <w:r>
        <w:rPr>
          <w:rFonts w:hint="eastAsia" w:hAnsi="宋体" w:eastAsia="宋体"/>
          <w:color w:val="auto"/>
          <w:sz w:val="24"/>
          <w:highlight w:val="none"/>
          <w:lang w:val="en-US" w:eastAsia="zh-CN"/>
        </w:rPr>
        <w:t>2022年11月修改形成征求意见稿。</w:t>
      </w:r>
      <w:bookmarkStart w:id="0" w:name="_GoBack"/>
      <w:bookmarkEnd w:id="0"/>
    </w:p>
    <w:tbl>
      <w:tblPr>
        <w:tblStyle w:val="6"/>
        <w:tblpPr w:leftFromText="180" w:rightFromText="180" w:vertAnchor="text" w:horzAnchor="margin" w:tblpXSpec="center" w:tblpY="258"/>
        <w:tblOverlap w:val="never"/>
        <w:tblW w:w="0" w:type="auto"/>
        <w:tblInd w:w="0" w:type="dxa"/>
        <w:tblLayout w:type="fixed"/>
        <w:tblCellMar>
          <w:top w:w="0" w:type="dxa"/>
          <w:left w:w="108" w:type="dxa"/>
          <w:bottom w:w="0" w:type="dxa"/>
          <w:right w:w="108" w:type="dxa"/>
        </w:tblCellMar>
      </w:tblPr>
      <w:tblGrid>
        <w:gridCol w:w="682"/>
        <w:gridCol w:w="682"/>
        <w:gridCol w:w="4786"/>
        <w:gridCol w:w="2460"/>
        <w:gridCol w:w="950"/>
      </w:tblGrid>
      <w:tr>
        <w:tblPrEx>
          <w:tblCellMar>
            <w:top w:w="0" w:type="dxa"/>
            <w:left w:w="108" w:type="dxa"/>
            <w:bottom w:w="0" w:type="dxa"/>
            <w:right w:w="108" w:type="dxa"/>
          </w:tblCellMar>
        </w:tblPrEx>
        <w:trPr>
          <w:trHeight w:val="422" w:hRule="atLeast"/>
        </w:trPr>
        <w:tc>
          <w:tcPr>
            <w:tcW w:w="9560"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b/>
                <w:bCs/>
                <w:color w:val="auto"/>
                <w:sz w:val="24"/>
                <w:szCs w:val="24"/>
                <w:highlight w:val="none"/>
              </w:rPr>
            </w:pPr>
            <w:r>
              <w:rPr>
                <w:rFonts w:hint="eastAsia" w:ascii="宋体" w:hAnsi="宋体" w:eastAsia="宋体" w:cs="宋体"/>
                <w:b/>
                <w:bCs/>
                <w:color w:val="auto"/>
                <w:kern w:val="0"/>
                <w:sz w:val="24"/>
                <w:szCs w:val="24"/>
                <w:highlight w:val="none"/>
                <w:lang w:bidi="ar"/>
              </w:rPr>
              <w:t>专家意见汇总表</w:t>
            </w:r>
          </w:p>
        </w:tc>
      </w:tr>
      <w:tr>
        <w:tblPrEx>
          <w:tblCellMar>
            <w:top w:w="0" w:type="dxa"/>
            <w:left w:w="108" w:type="dxa"/>
            <w:bottom w:w="0" w:type="dxa"/>
            <w:right w:w="108" w:type="dxa"/>
          </w:tblCellMar>
        </w:tblPrEx>
        <w:trPr>
          <w:trHeight w:val="626" w:hRule="atLeast"/>
        </w:trPr>
        <w:tc>
          <w:tcPr>
            <w:tcW w:w="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b/>
                <w:bCs/>
                <w:color w:val="auto"/>
                <w:sz w:val="22"/>
                <w:szCs w:val="22"/>
                <w:highlight w:val="none"/>
              </w:rPr>
            </w:pPr>
            <w:r>
              <w:rPr>
                <w:rFonts w:hint="eastAsia" w:ascii="宋体" w:hAnsi="宋体" w:eastAsia="宋体" w:cs="宋体"/>
                <w:b/>
                <w:bCs/>
                <w:color w:val="auto"/>
                <w:kern w:val="0"/>
                <w:sz w:val="22"/>
                <w:szCs w:val="22"/>
                <w:highlight w:val="none"/>
                <w:lang w:bidi="ar"/>
              </w:rPr>
              <w:t>序号</w:t>
            </w: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b/>
                <w:bCs/>
                <w:color w:val="auto"/>
                <w:sz w:val="22"/>
                <w:szCs w:val="22"/>
                <w:highlight w:val="none"/>
              </w:rPr>
            </w:pPr>
            <w:r>
              <w:rPr>
                <w:rFonts w:hint="eastAsia" w:ascii="宋体" w:hAnsi="宋体" w:eastAsia="宋体" w:cs="宋体"/>
                <w:b/>
                <w:bCs/>
                <w:color w:val="auto"/>
                <w:kern w:val="0"/>
                <w:sz w:val="22"/>
                <w:szCs w:val="22"/>
                <w:highlight w:val="none"/>
                <w:lang w:bidi="ar"/>
              </w:rPr>
              <w:t>专家</w:t>
            </w:r>
          </w:p>
        </w:tc>
        <w:tc>
          <w:tcPr>
            <w:tcW w:w="47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b/>
                <w:bCs/>
                <w:color w:val="auto"/>
                <w:sz w:val="22"/>
                <w:szCs w:val="22"/>
                <w:highlight w:val="none"/>
              </w:rPr>
            </w:pPr>
            <w:r>
              <w:rPr>
                <w:rFonts w:hint="eastAsia" w:ascii="宋体" w:hAnsi="宋体" w:eastAsia="宋体" w:cs="宋体"/>
                <w:b/>
                <w:bCs/>
                <w:color w:val="auto"/>
                <w:kern w:val="0"/>
                <w:sz w:val="22"/>
                <w:szCs w:val="22"/>
                <w:highlight w:val="none"/>
                <w:lang w:bidi="ar"/>
              </w:rPr>
              <w:t>专家意见</w:t>
            </w:r>
          </w:p>
        </w:tc>
        <w:tc>
          <w:tcPr>
            <w:tcW w:w="24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b/>
                <w:bCs/>
                <w:color w:val="auto"/>
                <w:sz w:val="22"/>
                <w:szCs w:val="22"/>
                <w:highlight w:val="none"/>
              </w:rPr>
            </w:pPr>
            <w:r>
              <w:rPr>
                <w:rFonts w:hint="eastAsia" w:ascii="宋体" w:hAnsi="宋体" w:eastAsia="宋体" w:cs="宋体"/>
                <w:b/>
                <w:bCs/>
                <w:color w:val="auto"/>
                <w:kern w:val="0"/>
                <w:sz w:val="22"/>
                <w:szCs w:val="22"/>
                <w:highlight w:val="none"/>
                <w:lang w:bidi="ar"/>
              </w:rPr>
              <w:t>是否采纳</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b/>
                <w:bCs/>
                <w:color w:val="auto"/>
                <w:sz w:val="22"/>
                <w:szCs w:val="22"/>
                <w:highlight w:val="none"/>
              </w:rPr>
            </w:pPr>
            <w:r>
              <w:rPr>
                <w:rFonts w:hint="eastAsia" w:ascii="宋体" w:hAnsi="宋体" w:eastAsia="宋体" w:cs="宋体"/>
                <w:b/>
                <w:bCs/>
                <w:color w:val="auto"/>
                <w:kern w:val="0"/>
                <w:sz w:val="22"/>
                <w:szCs w:val="22"/>
                <w:highlight w:val="none"/>
                <w:lang w:bidi="ar"/>
              </w:rPr>
              <w:t>备注</w:t>
            </w:r>
          </w:p>
        </w:tc>
      </w:tr>
      <w:tr>
        <w:tblPrEx>
          <w:tblCellMar>
            <w:top w:w="0" w:type="dxa"/>
            <w:left w:w="108" w:type="dxa"/>
            <w:bottom w:w="0" w:type="dxa"/>
            <w:right w:w="108" w:type="dxa"/>
          </w:tblCellMar>
        </w:tblPrEx>
        <w:trPr>
          <w:trHeight w:val="1471" w:hRule="atLeast"/>
        </w:trPr>
        <w:tc>
          <w:tcPr>
            <w:tcW w:w="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00" w:lineRule="atLeast"/>
              <w:jc w:val="center"/>
              <w:rPr>
                <w:rFonts w:ascii="宋体" w:hAnsi="宋体" w:eastAsia="宋体"/>
                <w:color w:val="auto"/>
                <w:sz w:val="18"/>
                <w:szCs w:val="18"/>
                <w:highlight w:val="none"/>
              </w:rPr>
            </w:pPr>
            <w:r>
              <w:rPr>
                <w:rFonts w:hint="eastAsia" w:ascii="宋体" w:hAnsi="宋体" w:eastAsia="宋体"/>
                <w:color w:val="auto"/>
                <w:sz w:val="18"/>
                <w:szCs w:val="18"/>
                <w:highlight w:val="none"/>
              </w:rPr>
              <w:t>1</w:t>
            </w: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A</w:t>
            </w:r>
          </w:p>
        </w:tc>
        <w:tc>
          <w:tcPr>
            <w:tcW w:w="47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00" w:lineRule="atLeast"/>
              <w:jc w:val="left"/>
              <w:rPr>
                <w:rFonts w:ascii="宋体" w:hAnsi="宋体" w:eastAsia="宋体"/>
                <w:color w:val="auto"/>
                <w:sz w:val="18"/>
                <w:szCs w:val="18"/>
                <w:highlight w:val="none"/>
              </w:rPr>
            </w:pPr>
            <w:r>
              <w:rPr>
                <w:rFonts w:hint="eastAsia" w:ascii="宋体" w:hAnsi="宋体" w:eastAsia="宋体"/>
                <w:color w:val="auto"/>
                <w:sz w:val="18"/>
                <w:szCs w:val="18"/>
                <w:highlight w:val="none"/>
              </w:rPr>
              <w:t>表1的Q</w:t>
            </w:r>
            <w:r>
              <w:rPr>
                <w:rFonts w:ascii="宋体" w:hAnsi="宋体" w:eastAsia="宋体"/>
                <w:color w:val="auto"/>
                <w:sz w:val="18"/>
                <w:szCs w:val="18"/>
                <w:highlight w:val="none"/>
              </w:rPr>
              <w:t>T700</w:t>
            </w:r>
            <w:r>
              <w:rPr>
                <w:rFonts w:hint="eastAsia" w:ascii="宋体" w:hAnsi="宋体" w:eastAsia="宋体"/>
                <w:color w:val="auto"/>
                <w:sz w:val="18"/>
                <w:szCs w:val="18"/>
                <w:highlight w:val="none"/>
              </w:rPr>
              <w:t>-</w:t>
            </w:r>
            <w:r>
              <w:rPr>
                <w:rFonts w:ascii="宋体" w:hAnsi="宋体" w:eastAsia="宋体"/>
                <w:color w:val="auto"/>
                <w:sz w:val="18"/>
                <w:szCs w:val="18"/>
                <w:highlight w:val="none"/>
              </w:rPr>
              <w:t>10</w:t>
            </w:r>
            <w:r>
              <w:rPr>
                <w:rFonts w:hint="eastAsia" w:ascii="宋体" w:hAnsi="宋体" w:eastAsia="宋体"/>
                <w:color w:val="auto"/>
                <w:sz w:val="18"/>
                <w:szCs w:val="18"/>
                <w:highlight w:val="none"/>
              </w:rPr>
              <w:t>牌号延伸率定为8—12不科学，因为规定都是最小值(min)，只能定一个数值,不能定范围，要么是8，要么是10。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00" w:lineRule="atLeast"/>
              <w:jc w:val="center"/>
              <w:rPr>
                <w:rFonts w:ascii="宋体" w:hAnsi="宋体" w:eastAsia="宋体"/>
                <w:color w:val="auto"/>
                <w:sz w:val="18"/>
                <w:szCs w:val="18"/>
                <w:highlight w:val="none"/>
              </w:rPr>
            </w:pPr>
            <w:r>
              <w:rPr>
                <w:rFonts w:hint="eastAsia" w:ascii="宋体" w:hAnsi="宋体" w:eastAsia="宋体"/>
                <w:color w:val="auto"/>
                <w:sz w:val="18"/>
                <w:szCs w:val="18"/>
                <w:highlight w:val="none"/>
              </w:rPr>
              <w:t>采纳。增加Q</w:t>
            </w:r>
            <w:r>
              <w:rPr>
                <w:rFonts w:ascii="宋体" w:hAnsi="宋体" w:eastAsia="宋体"/>
                <w:color w:val="auto"/>
                <w:sz w:val="18"/>
                <w:szCs w:val="18"/>
                <w:highlight w:val="none"/>
              </w:rPr>
              <w:t>T700-10和</w:t>
            </w:r>
            <w:r>
              <w:rPr>
                <w:rFonts w:hint="eastAsia" w:ascii="宋体" w:hAnsi="宋体" w:eastAsia="宋体"/>
                <w:color w:val="auto"/>
                <w:sz w:val="18"/>
                <w:szCs w:val="18"/>
                <w:highlight w:val="none"/>
              </w:rPr>
              <w:t>Q</w:t>
            </w:r>
            <w:r>
              <w:rPr>
                <w:rFonts w:ascii="宋体" w:hAnsi="宋体" w:eastAsia="宋体"/>
                <w:color w:val="auto"/>
                <w:sz w:val="18"/>
                <w:szCs w:val="18"/>
                <w:highlight w:val="none"/>
              </w:rPr>
              <w:t>T700-8材料牌号</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auto"/>
                <w:sz w:val="22"/>
                <w:szCs w:val="22"/>
                <w:highlight w:val="none"/>
              </w:rPr>
            </w:pPr>
          </w:p>
        </w:tc>
      </w:tr>
      <w:tr>
        <w:tblPrEx>
          <w:tblCellMar>
            <w:top w:w="0" w:type="dxa"/>
            <w:left w:w="108" w:type="dxa"/>
            <w:bottom w:w="0" w:type="dxa"/>
            <w:right w:w="108" w:type="dxa"/>
          </w:tblCellMar>
        </w:tblPrEx>
        <w:trPr>
          <w:trHeight w:val="2501" w:hRule="atLeast"/>
        </w:trPr>
        <w:tc>
          <w:tcPr>
            <w:tcW w:w="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00" w:lineRule="atLeast"/>
              <w:jc w:val="center"/>
              <w:rPr>
                <w:rFonts w:ascii="宋体" w:hAnsi="宋体" w:eastAsia="宋体"/>
                <w:color w:val="auto"/>
                <w:sz w:val="18"/>
                <w:szCs w:val="18"/>
                <w:highlight w:val="none"/>
              </w:rPr>
            </w:pPr>
            <w:r>
              <w:rPr>
                <w:rFonts w:hint="eastAsia" w:ascii="宋体" w:hAnsi="宋体" w:eastAsia="宋体"/>
                <w:color w:val="auto"/>
                <w:sz w:val="18"/>
                <w:szCs w:val="18"/>
                <w:highlight w:val="none"/>
              </w:rPr>
              <w:t>2</w:t>
            </w: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2"/>
                <w:szCs w:val="22"/>
                <w:highlight w:val="none"/>
              </w:rPr>
            </w:pPr>
            <w:r>
              <w:rPr>
                <w:rFonts w:ascii="宋体" w:hAnsi="宋体" w:eastAsia="宋体" w:cs="宋体"/>
                <w:color w:val="auto"/>
                <w:kern w:val="0"/>
                <w:sz w:val="22"/>
                <w:szCs w:val="22"/>
                <w:highlight w:val="none"/>
                <w:lang w:bidi="ar"/>
              </w:rPr>
              <w:t>B</w:t>
            </w:r>
          </w:p>
        </w:tc>
        <w:tc>
          <w:tcPr>
            <w:tcW w:w="47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3"/>
              <w:spacing w:before="156" w:after="156" w:line="340" w:lineRule="exact"/>
              <w:jc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7.3 基体组织</w:t>
            </w:r>
          </w:p>
          <w:p>
            <w:pPr>
              <w:pStyle w:val="12"/>
              <w:ind w:firstLine="360"/>
              <w:jc w:val="center"/>
              <w:rPr>
                <w:rFonts w:hAnsi="宋体" w:cs="宋体"/>
                <w:color w:val="auto"/>
                <w:sz w:val="18"/>
                <w:szCs w:val="18"/>
                <w:highlight w:val="none"/>
              </w:rPr>
            </w:pPr>
            <w:r>
              <w:rPr>
                <w:rFonts w:hint="eastAsia" w:hAnsi="宋体" w:cs="宋体"/>
                <w:color w:val="auto"/>
                <w:sz w:val="18"/>
                <w:szCs w:val="18"/>
                <w:highlight w:val="none"/>
              </w:rPr>
              <w:t>高强度高塑性球墨铸铁的基体组织应以珠光体为主。</w:t>
            </w:r>
          </w:p>
          <w:p>
            <w:pPr>
              <w:spacing w:line="200" w:lineRule="atLeast"/>
              <w:jc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 xml:space="preserve">须同“6 </w:t>
            </w:r>
            <w:r>
              <w:rPr>
                <w:rFonts w:hint="eastAsia" w:ascii="宋体" w:hAnsi="宋体" w:eastAsia="宋体" w:cs="宋体"/>
                <w:color w:val="auto"/>
                <w:sz w:val="18"/>
                <w:szCs w:val="18"/>
                <w:highlight w:val="none"/>
              </w:rPr>
              <w:t>生产方法和化学成分”及GB/T1348 中的表述一样，增加“珠光体含量要求由供方确定，如果需方有其它特殊要求时，由供需双方商定。”</w:t>
            </w:r>
          </w:p>
        </w:tc>
        <w:tc>
          <w:tcPr>
            <w:tcW w:w="24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00" w:lineRule="atLeast"/>
              <w:jc w:val="center"/>
              <w:rPr>
                <w:rFonts w:ascii="宋体" w:hAnsi="宋体" w:eastAsia="宋体"/>
                <w:color w:val="auto"/>
                <w:sz w:val="18"/>
                <w:szCs w:val="18"/>
                <w:highlight w:val="none"/>
              </w:rPr>
            </w:pPr>
            <w:r>
              <w:rPr>
                <w:rFonts w:hint="eastAsia" w:ascii="宋体" w:hAnsi="宋体" w:eastAsia="宋体"/>
                <w:color w:val="auto"/>
                <w:sz w:val="18"/>
                <w:szCs w:val="18"/>
                <w:highlight w:val="none"/>
              </w:rPr>
              <w:t>不采纳。5种不同牌号，不同工艺，珠光体范围差异较大</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auto"/>
                <w:sz w:val="22"/>
                <w:szCs w:val="22"/>
                <w:highlight w:val="none"/>
              </w:rPr>
            </w:pPr>
          </w:p>
        </w:tc>
      </w:tr>
      <w:tr>
        <w:tblPrEx>
          <w:tblCellMar>
            <w:top w:w="0" w:type="dxa"/>
            <w:left w:w="108" w:type="dxa"/>
            <w:bottom w:w="0" w:type="dxa"/>
            <w:right w:w="108" w:type="dxa"/>
          </w:tblCellMar>
        </w:tblPrEx>
        <w:trPr>
          <w:trHeight w:val="1809" w:hRule="atLeast"/>
        </w:trPr>
        <w:tc>
          <w:tcPr>
            <w:tcW w:w="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00" w:lineRule="atLeast"/>
              <w:jc w:val="center"/>
              <w:rPr>
                <w:rFonts w:ascii="宋体" w:hAnsi="宋体" w:eastAsia="宋体"/>
                <w:color w:val="auto"/>
                <w:sz w:val="18"/>
                <w:szCs w:val="18"/>
                <w:highlight w:val="none"/>
              </w:rPr>
            </w:pPr>
            <w:r>
              <w:rPr>
                <w:rFonts w:hint="eastAsia" w:ascii="宋体" w:hAnsi="宋体" w:eastAsia="宋体"/>
                <w:color w:val="auto"/>
                <w:sz w:val="18"/>
                <w:szCs w:val="18"/>
                <w:highlight w:val="none"/>
              </w:rPr>
              <w:t>3</w:t>
            </w: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2"/>
                <w:szCs w:val="22"/>
                <w:highlight w:val="none"/>
              </w:rPr>
            </w:pPr>
            <w:r>
              <w:rPr>
                <w:rFonts w:ascii="宋体" w:hAnsi="宋体" w:eastAsia="宋体" w:cs="宋体"/>
                <w:color w:val="auto"/>
                <w:kern w:val="0"/>
                <w:sz w:val="22"/>
                <w:szCs w:val="22"/>
                <w:highlight w:val="none"/>
                <w:lang w:bidi="ar"/>
              </w:rPr>
              <w:t>B</w:t>
            </w:r>
          </w:p>
        </w:tc>
        <w:tc>
          <w:tcPr>
            <w:tcW w:w="478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2"/>
              <w:ind w:firstLine="360"/>
              <w:jc w:val="center"/>
              <w:rPr>
                <w:rFonts w:hAnsi="宋体" w:cs="宋体"/>
                <w:color w:val="auto"/>
                <w:sz w:val="18"/>
                <w:szCs w:val="18"/>
                <w:highlight w:val="none"/>
              </w:rPr>
            </w:pPr>
            <w:r>
              <w:rPr>
                <w:rFonts w:hint="eastAsia" w:hAnsi="宋体" w:cs="宋体"/>
                <w:color w:val="auto"/>
                <w:sz w:val="18"/>
                <w:szCs w:val="18"/>
                <w:highlight w:val="none"/>
              </w:rPr>
              <w:t>现有文本“本文件规定了高强度高塑性球墨铸铁件的术语和定义、牌号、技术要求、取样和试样、试验方法、检验规则及铸件标志、包装和储运要求。”</w:t>
            </w:r>
          </w:p>
          <w:p>
            <w:pPr>
              <w:pStyle w:val="12"/>
              <w:ind w:firstLine="360"/>
              <w:jc w:val="center"/>
              <w:rPr>
                <w:rFonts w:hAnsi="宋体" w:cs="宋体"/>
                <w:color w:val="auto"/>
                <w:sz w:val="18"/>
                <w:szCs w:val="18"/>
                <w:highlight w:val="none"/>
              </w:rPr>
            </w:pPr>
            <w:r>
              <w:rPr>
                <w:rFonts w:hint="eastAsia" w:hAnsi="宋体" w:cs="宋体"/>
                <w:color w:val="auto"/>
                <w:sz w:val="18"/>
                <w:szCs w:val="18"/>
                <w:highlight w:val="none"/>
              </w:rPr>
              <w:t>建议和目录中的项目内容保持一致。</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00" w:lineRule="atLeast"/>
              <w:jc w:val="left"/>
              <w:rPr>
                <w:rFonts w:ascii="宋体" w:hAnsi="宋体" w:eastAsia="宋体"/>
                <w:color w:val="auto"/>
                <w:sz w:val="18"/>
                <w:szCs w:val="18"/>
                <w:highlight w:val="none"/>
              </w:rPr>
            </w:pPr>
            <w:r>
              <w:rPr>
                <w:rFonts w:hint="eastAsia" w:ascii="宋体" w:hAnsi="宋体" w:eastAsia="宋体"/>
                <w:color w:val="auto"/>
                <w:sz w:val="18"/>
                <w:szCs w:val="18"/>
                <w:highlight w:val="none"/>
              </w:rPr>
              <w:t>采纳</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auto"/>
                <w:sz w:val="22"/>
                <w:szCs w:val="22"/>
                <w:highlight w:val="none"/>
              </w:rPr>
            </w:pPr>
          </w:p>
        </w:tc>
      </w:tr>
      <w:tr>
        <w:tblPrEx>
          <w:tblCellMar>
            <w:top w:w="0" w:type="dxa"/>
            <w:left w:w="108" w:type="dxa"/>
            <w:bottom w:w="0" w:type="dxa"/>
            <w:right w:w="108" w:type="dxa"/>
          </w:tblCellMar>
        </w:tblPrEx>
        <w:trPr>
          <w:trHeight w:val="1325" w:hRule="atLeast"/>
        </w:trPr>
        <w:tc>
          <w:tcPr>
            <w:tcW w:w="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00" w:lineRule="atLeast"/>
              <w:jc w:val="center"/>
              <w:rPr>
                <w:rFonts w:ascii="宋体" w:hAnsi="宋体" w:eastAsia="宋体"/>
                <w:color w:val="auto"/>
                <w:sz w:val="18"/>
                <w:szCs w:val="18"/>
                <w:highlight w:val="none"/>
              </w:rPr>
            </w:pPr>
            <w:r>
              <w:rPr>
                <w:rFonts w:hint="eastAsia" w:ascii="宋体" w:hAnsi="宋体" w:eastAsia="宋体"/>
                <w:color w:val="auto"/>
                <w:sz w:val="18"/>
                <w:szCs w:val="18"/>
                <w:highlight w:val="none"/>
              </w:rPr>
              <w:t>4</w:t>
            </w: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2"/>
                <w:szCs w:val="22"/>
                <w:highlight w:val="none"/>
              </w:rPr>
            </w:pPr>
            <w:r>
              <w:rPr>
                <w:rFonts w:ascii="宋体" w:hAnsi="宋体" w:eastAsia="宋体" w:cs="宋体"/>
                <w:color w:val="auto"/>
                <w:kern w:val="0"/>
                <w:sz w:val="22"/>
                <w:szCs w:val="22"/>
                <w:highlight w:val="none"/>
                <w:lang w:bidi="ar"/>
              </w:rPr>
              <w:t>B</w:t>
            </w:r>
          </w:p>
        </w:tc>
        <w:tc>
          <w:tcPr>
            <w:tcW w:w="47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2"/>
              <w:spacing w:line="340" w:lineRule="exact"/>
              <w:ind w:firstLine="360"/>
              <w:jc w:val="center"/>
              <w:rPr>
                <w:rFonts w:hAnsi="宋体" w:cs="宋体"/>
                <w:color w:val="auto"/>
                <w:sz w:val="18"/>
                <w:szCs w:val="18"/>
                <w:highlight w:val="none"/>
              </w:rPr>
            </w:pPr>
            <w:r>
              <w:rPr>
                <w:rFonts w:hint="eastAsia" w:hAnsi="宋体" w:cs="宋体"/>
                <w:color w:val="auto"/>
                <w:sz w:val="18"/>
                <w:szCs w:val="18"/>
                <w:highlight w:val="none"/>
              </w:rPr>
              <w:t>“GB/T 223.3  钢铁及合金化学分析方法  二安替比林甲烷磷</w:t>
            </w:r>
            <w:r>
              <w:rPr>
                <w:rFonts w:hint="eastAsia" w:hAnsi="宋体" w:cs="宋体"/>
                <w:color w:val="auto"/>
                <w:sz w:val="18"/>
                <w:szCs w:val="18"/>
                <w:highlight w:val="none"/>
              </w:rPr>
              <w:t>钥</w:t>
            </w:r>
            <w:r>
              <w:rPr>
                <w:rFonts w:hint="eastAsia" w:hAnsi="宋体" w:cs="宋体"/>
                <w:color w:val="auto"/>
                <w:sz w:val="18"/>
                <w:szCs w:val="18"/>
                <w:highlight w:val="none"/>
              </w:rPr>
              <w:t>酸重量法测定磷量”</w:t>
            </w:r>
          </w:p>
          <w:p>
            <w:pPr>
              <w:spacing w:line="200" w:lineRule="atLeast"/>
              <w:jc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错别字</w:t>
            </w:r>
          </w:p>
        </w:tc>
        <w:tc>
          <w:tcPr>
            <w:tcW w:w="24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00" w:lineRule="atLeast"/>
              <w:jc w:val="left"/>
              <w:rPr>
                <w:rFonts w:ascii="宋体" w:hAnsi="宋体" w:eastAsia="宋体"/>
                <w:color w:val="auto"/>
                <w:sz w:val="18"/>
                <w:szCs w:val="18"/>
                <w:highlight w:val="none"/>
              </w:rPr>
            </w:pPr>
            <w:r>
              <w:rPr>
                <w:rFonts w:hint="eastAsia" w:ascii="宋体" w:hAnsi="宋体" w:eastAsia="宋体"/>
                <w:color w:val="auto"/>
                <w:sz w:val="18"/>
                <w:szCs w:val="18"/>
                <w:highlight w:val="none"/>
              </w:rPr>
              <w:t>采纳</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auto"/>
                <w:sz w:val="22"/>
                <w:szCs w:val="22"/>
                <w:highlight w:val="none"/>
              </w:rPr>
            </w:pPr>
          </w:p>
        </w:tc>
      </w:tr>
      <w:tr>
        <w:tblPrEx>
          <w:tblCellMar>
            <w:top w:w="0" w:type="dxa"/>
            <w:left w:w="108" w:type="dxa"/>
            <w:bottom w:w="0" w:type="dxa"/>
            <w:right w:w="108" w:type="dxa"/>
          </w:tblCellMar>
        </w:tblPrEx>
        <w:trPr>
          <w:trHeight w:val="989" w:hRule="atLeast"/>
        </w:trPr>
        <w:tc>
          <w:tcPr>
            <w:tcW w:w="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00" w:lineRule="atLeast"/>
              <w:jc w:val="center"/>
              <w:rPr>
                <w:rFonts w:ascii="宋体" w:hAnsi="宋体" w:eastAsia="宋体"/>
                <w:color w:val="auto"/>
                <w:sz w:val="18"/>
                <w:szCs w:val="18"/>
                <w:highlight w:val="none"/>
              </w:rPr>
            </w:pPr>
            <w:r>
              <w:rPr>
                <w:rFonts w:hint="eastAsia" w:ascii="宋体" w:hAnsi="宋体" w:eastAsia="宋体"/>
                <w:color w:val="auto"/>
                <w:sz w:val="18"/>
                <w:szCs w:val="18"/>
                <w:highlight w:val="none"/>
              </w:rPr>
              <w:t>5</w:t>
            </w: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2"/>
                <w:szCs w:val="22"/>
                <w:highlight w:val="none"/>
              </w:rPr>
            </w:pPr>
            <w:r>
              <w:rPr>
                <w:rFonts w:ascii="宋体" w:hAnsi="宋体" w:eastAsia="宋体" w:cs="宋体"/>
                <w:color w:val="auto"/>
                <w:kern w:val="0"/>
                <w:sz w:val="22"/>
                <w:szCs w:val="22"/>
                <w:highlight w:val="none"/>
                <w:lang w:bidi="ar"/>
              </w:rPr>
              <w:t>B</w:t>
            </w:r>
          </w:p>
        </w:tc>
        <w:tc>
          <w:tcPr>
            <w:tcW w:w="47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2"/>
              <w:spacing w:line="340" w:lineRule="exact"/>
              <w:ind w:firstLine="360"/>
              <w:jc w:val="center"/>
              <w:rPr>
                <w:rFonts w:hAnsi="宋体" w:cs="宋体"/>
                <w:color w:val="auto"/>
                <w:sz w:val="18"/>
                <w:szCs w:val="18"/>
                <w:highlight w:val="none"/>
              </w:rPr>
            </w:pPr>
            <w:r>
              <w:rPr>
                <w:rFonts w:hint="eastAsia" w:hAnsi="宋体" w:cs="宋体"/>
                <w:color w:val="auto"/>
                <w:sz w:val="18"/>
                <w:szCs w:val="18"/>
                <w:highlight w:val="none"/>
              </w:rPr>
              <w:t>GB/T 223.58  钢铁及合金化学分析方法  亚</w:t>
            </w:r>
            <w:r>
              <w:rPr>
                <w:rFonts w:hint="eastAsia" w:hAnsi="宋体" w:cs="宋体"/>
                <w:color w:val="auto"/>
                <w:sz w:val="18"/>
                <w:szCs w:val="18"/>
                <w:highlight w:val="none"/>
              </w:rPr>
              <w:t>碑</w:t>
            </w:r>
            <w:r>
              <w:rPr>
                <w:rFonts w:hint="eastAsia" w:hAnsi="宋体" w:cs="宋体"/>
                <w:color w:val="auto"/>
                <w:sz w:val="18"/>
                <w:szCs w:val="18"/>
                <w:highlight w:val="none"/>
              </w:rPr>
              <w:t>酸钠-亚硝酸钠滴定法测定锰量</w:t>
            </w:r>
          </w:p>
          <w:p>
            <w:pPr>
              <w:spacing w:line="200" w:lineRule="atLeast"/>
              <w:jc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错别字</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00" w:lineRule="atLeast"/>
              <w:jc w:val="left"/>
              <w:rPr>
                <w:rFonts w:ascii="宋体" w:hAnsi="宋体" w:eastAsia="宋体"/>
                <w:color w:val="auto"/>
                <w:sz w:val="18"/>
                <w:szCs w:val="18"/>
                <w:highlight w:val="none"/>
              </w:rPr>
            </w:pPr>
            <w:r>
              <w:rPr>
                <w:rFonts w:hint="eastAsia" w:ascii="宋体" w:hAnsi="宋体" w:eastAsia="宋体"/>
                <w:color w:val="auto"/>
                <w:sz w:val="18"/>
                <w:szCs w:val="18"/>
                <w:highlight w:val="none"/>
              </w:rPr>
              <w:t>采纳</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auto"/>
                <w:sz w:val="22"/>
                <w:szCs w:val="22"/>
                <w:highlight w:val="none"/>
              </w:rPr>
            </w:pPr>
          </w:p>
        </w:tc>
      </w:tr>
      <w:tr>
        <w:tblPrEx>
          <w:tblCellMar>
            <w:top w:w="0" w:type="dxa"/>
            <w:left w:w="108" w:type="dxa"/>
            <w:bottom w:w="0" w:type="dxa"/>
            <w:right w:w="108" w:type="dxa"/>
          </w:tblCellMar>
        </w:tblPrEx>
        <w:trPr>
          <w:trHeight w:val="1605" w:hRule="atLeast"/>
        </w:trPr>
        <w:tc>
          <w:tcPr>
            <w:tcW w:w="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00" w:lineRule="atLeast"/>
              <w:jc w:val="center"/>
              <w:rPr>
                <w:rFonts w:ascii="宋体" w:hAnsi="宋体" w:eastAsia="宋体"/>
                <w:color w:val="auto"/>
                <w:sz w:val="18"/>
                <w:szCs w:val="18"/>
                <w:highlight w:val="none"/>
              </w:rPr>
            </w:pPr>
            <w:r>
              <w:rPr>
                <w:rFonts w:hint="eastAsia" w:ascii="宋体" w:hAnsi="宋体" w:eastAsia="宋体"/>
                <w:color w:val="auto"/>
                <w:sz w:val="18"/>
                <w:szCs w:val="18"/>
                <w:highlight w:val="none"/>
              </w:rPr>
              <w:t>6</w:t>
            </w: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2"/>
                <w:szCs w:val="22"/>
                <w:highlight w:val="none"/>
              </w:rPr>
            </w:pPr>
            <w:r>
              <w:rPr>
                <w:rFonts w:ascii="宋体" w:hAnsi="宋体" w:eastAsia="宋体" w:cs="宋体"/>
                <w:color w:val="auto"/>
                <w:kern w:val="0"/>
                <w:sz w:val="22"/>
                <w:szCs w:val="22"/>
                <w:highlight w:val="none"/>
                <w:lang w:bidi="ar"/>
              </w:rPr>
              <w:t>B</w:t>
            </w:r>
          </w:p>
        </w:tc>
        <w:tc>
          <w:tcPr>
            <w:tcW w:w="47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2"/>
              <w:spacing w:line="340" w:lineRule="exact"/>
              <w:ind w:firstLine="360"/>
              <w:jc w:val="center"/>
              <w:rPr>
                <w:rFonts w:hAnsi="宋体" w:cs="宋体"/>
                <w:color w:val="auto"/>
                <w:sz w:val="18"/>
                <w:szCs w:val="18"/>
                <w:highlight w:val="none"/>
              </w:rPr>
            </w:pPr>
            <w:r>
              <w:rPr>
                <w:rFonts w:hint="eastAsia" w:hAnsi="宋体" w:cs="宋体"/>
                <w:color w:val="auto"/>
                <w:sz w:val="18"/>
                <w:szCs w:val="18"/>
                <w:highlight w:val="none"/>
              </w:rPr>
              <w:t>GB/T 223.69   钢铁及合金  碳含量的测定  管式炉内燃烧后气体容量法</w:t>
            </w:r>
          </w:p>
          <w:p>
            <w:pPr>
              <w:spacing w:line="200" w:lineRule="atLeast"/>
              <w:jc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需要考虑是否替换或添加“GB/T 223.71  钢铁及合金化学分析方法 管式炉内燃烧后重量法测定碳含量”</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00" w:lineRule="atLeast"/>
              <w:jc w:val="left"/>
              <w:rPr>
                <w:rFonts w:ascii="宋体" w:hAnsi="宋体" w:eastAsia="宋体"/>
                <w:color w:val="auto"/>
                <w:sz w:val="18"/>
                <w:szCs w:val="18"/>
                <w:highlight w:val="none"/>
              </w:rPr>
            </w:pPr>
            <w:r>
              <w:rPr>
                <w:rFonts w:hint="eastAsia" w:ascii="宋体" w:hAnsi="宋体" w:eastAsia="宋体"/>
                <w:color w:val="auto"/>
                <w:sz w:val="18"/>
                <w:szCs w:val="18"/>
                <w:highlight w:val="none"/>
              </w:rPr>
              <w:t>不采纳</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auto"/>
                <w:sz w:val="22"/>
                <w:szCs w:val="22"/>
                <w:highlight w:val="none"/>
              </w:rPr>
            </w:pPr>
          </w:p>
        </w:tc>
      </w:tr>
      <w:tr>
        <w:tblPrEx>
          <w:tblCellMar>
            <w:top w:w="0" w:type="dxa"/>
            <w:left w:w="108" w:type="dxa"/>
            <w:bottom w:w="0" w:type="dxa"/>
            <w:right w:w="108" w:type="dxa"/>
          </w:tblCellMar>
        </w:tblPrEx>
        <w:trPr>
          <w:trHeight w:val="1996" w:hRule="atLeast"/>
        </w:trPr>
        <w:tc>
          <w:tcPr>
            <w:tcW w:w="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00" w:lineRule="atLeast"/>
              <w:jc w:val="center"/>
              <w:rPr>
                <w:rFonts w:ascii="宋体" w:hAnsi="宋体" w:eastAsia="宋体"/>
                <w:color w:val="auto"/>
                <w:sz w:val="18"/>
                <w:szCs w:val="18"/>
                <w:highlight w:val="none"/>
              </w:rPr>
            </w:pPr>
            <w:r>
              <w:rPr>
                <w:rFonts w:ascii="宋体" w:hAnsi="宋体" w:eastAsia="宋体"/>
                <w:color w:val="auto"/>
                <w:sz w:val="18"/>
                <w:szCs w:val="18"/>
                <w:highlight w:val="none"/>
              </w:rPr>
              <w:t>7</w:t>
            </w: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2"/>
                <w:szCs w:val="22"/>
                <w:highlight w:val="none"/>
              </w:rPr>
            </w:pPr>
            <w:r>
              <w:rPr>
                <w:rFonts w:ascii="宋体" w:hAnsi="宋体" w:eastAsia="宋体" w:cs="宋体"/>
                <w:color w:val="auto"/>
                <w:kern w:val="0"/>
                <w:sz w:val="22"/>
                <w:szCs w:val="22"/>
                <w:highlight w:val="none"/>
                <w:lang w:bidi="ar"/>
              </w:rPr>
              <w:t>B</w:t>
            </w:r>
          </w:p>
        </w:tc>
        <w:tc>
          <w:tcPr>
            <w:tcW w:w="47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2"/>
              <w:spacing w:line="340" w:lineRule="exact"/>
              <w:ind w:firstLine="360"/>
              <w:jc w:val="center"/>
              <w:rPr>
                <w:rFonts w:hAnsi="宋体" w:cs="宋体"/>
                <w:color w:val="auto"/>
                <w:sz w:val="18"/>
                <w:szCs w:val="18"/>
                <w:highlight w:val="none"/>
              </w:rPr>
            </w:pPr>
            <w:r>
              <w:rPr>
                <w:rFonts w:hint="eastAsia" w:hAnsi="宋体" w:cs="宋体"/>
                <w:color w:val="auto"/>
                <w:sz w:val="18"/>
                <w:szCs w:val="18"/>
                <w:highlight w:val="none"/>
              </w:rPr>
              <w:t>GB/T 228   金属材料  室温拉伸试验方法（eqvISO6892)</w:t>
            </w:r>
          </w:p>
          <w:p>
            <w:pPr>
              <w:pStyle w:val="12"/>
              <w:spacing w:line="340" w:lineRule="exact"/>
              <w:ind w:firstLine="360"/>
              <w:jc w:val="center"/>
              <w:rPr>
                <w:rFonts w:hAnsi="宋体" w:cs="宋体"/>
                <w:color w:val="auto"/>
                <w:sz w:val="18"/>
                <w:szCs w:val="18"/>
                <w:highlight w:val="none"/>
              </w:rPr>
            </w:pPr>
            <w:r>
              <w:rPr>
                <w:rFonts w:hint="eastAsia" w:hAnsi="宋体" w:cs="宋体"/>
                <w:color w:val="auto"/>
                <w:sz w:val="18"/>
                <w:szCs w:val="18"/>
                <w:highlight w:val="none"/>
              </w:rPr>
              <w:t>GB/T 6414   铸件尺寸公差与机械加工余量（eqvISO8062)</w:t>
            </w:r>
          </w:p>
          <w:p>
            <w:pPr>
              <w:pStyle w:val="12"/>
              <w:spacing w:line="340" w:lineRule="exact"/>
              <w:ind w:firstLine="360"/>
              <w:jc w:val="center"/>
              <w:rPr>
                <w:rFonts w:hAnsi="宋体" w:cs="宋体"/>
                <w:color w:val="auto"/>
                <w:sz w:val="18"/>
                <w:szCs w:val="18"/>
                <w:highlight w:val="none"/>
              </w:rPr>
            </w:pPr>
            <w:r>
              <w:rPr>
                <w:rFonts w:hint="eastAsia" w:hAnsi="宋体" w:cs="宋体"/>
                <w:color w:val="auto"/>
                <w:sz w:val="18"/>
                <w:szCs w:val="18"/>
                <w:highlight w:val="none"/>
              </w:rPr>
              <w:t>... ... ...</w:t>
            </w:r>
          </w:p>
          <w:p>
            <w:pPr>
              <w:spacing w:line="200" w:lineRule="atLeast"/>
              <w:jc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需要整体核对、规范一下标准文本的名称</w:t>
            </w:r>
          </w:p>
        </w:tc>
        <w:tc>
          <w:tcPr>
            <w:tcW w:w="24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00" w:lineRule="atLeast"/>
              <w:jc w:val="left"/>
              <w:rPr>
                <w:rFonts w:ascii="宋体" w:hAnsi="宋体" w:eastAsia="宋体"/>
                <w:color w:val="auto"/>
                <w:sz w:val="18"/>
                <w:szCs w:val="18"/>
                <w:highlight w:val="none"/>
              </w:rPr>
            </w:pPr>
            <w:r>
              <w:rPr>
                <w:rFonts w:hint="eastAsia" w:ascii="宋体" w:hAnsi="宋体" w:eastAsia="宋体"/>
                <w:color w:val="auto"/>
                <w:sz w:val="18"/>
                <w:szCs w:val="18"/>
                <w:highlight w:val="none"/>
              </w:rPr>
              <w:t>采纳</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auto"/>
                <w:sz w:val="22"/>
                <w:szCs w:val="22"/>
                <w:highlight w:val="none"/>
              </w:rPr>
            </w:pPr>
          </w:p>
        </w:tc>
      </w:tr>
      <w:tr>
        <w:tblPrEx>
          <w:tblCellMar>
            <w:top w:w="0" w:type="dxa"/>
            <w:left w:w="108" w:type="dxa"/>
            <w:bottom w:w="0" w:type="dxa"/>
            <w:right w:w="108" w:type="dxa"/>
          </w:tblCellMar>
        </w:tblPrEx>
        <w:trPr>
          <w:trHeight w:val="2529" w:hRule="atLeast"/>
        </w:trPr>
        <w:tc>
          <w:tcPr>
            <w:tcW w:w="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00" w:lineRule="atLeast"/>
              <w:jc w:val="center"/>
              <w:rPr>
                <w:rFonts w:ascii="宋体" w:hAnsi="宋体" w:eastAsia="宋体"/>
                <w:color w:val="auto"/>
                <w:sz w:val="18"/>
                <w:szCs w:val="18"/>
                <w:highlight w:val="none"/>
              </w:rPr>
            </w:pPr>
            <w:r>
              <w:rPr>
                <w:rFonts w:hint="eastAsia" w:ascii="宋体" w:hAnsi="宋体" w:eastAsia="宋体"/>
                <w:color w:val="auto"/>
                <w:sz w:val="18"/>
                <w:szCs w:val="18"/>
                <w:highlight w:val="none"/>
              </w:rPr>
              <w:t>8</w:t>
            </w: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B</w:t>
            </w:r>
          </w:p>
        </w:tc>
        <w:tc>
          <w:tcPr>
            <w:tcW w:w="47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4"/>
              <w:numPr>
                <w:ilvl w:val="0"/>
                <w:numId w:val="0"/>
              </w:numPr>
              <w:spacing w:line="340" w:lineRule="exact"/>
              <w:ind w:left="426"/>
              <w:jc w:val="center"/>
              <w:rPr>
                <w:rFonts w:hAnsi="宋体" w:cs="宋体"/>
                <w:color w:val="auto"/>
                <w:sz w:val="18"/>
                <w:szCs w:val="18"/>
                <w:highlight w:val="none"/>
              </w:rPr>
            </w:pPr>
            <w:r>
              <w:rPr>
                <w:rFonts w:hint="eastAsia" w:hAnsi="宋体" w:cs="宋体"/>
                <w:color w:val="auto"/>
                <w:sz w:val="18"/>
                <w:szCs w:val="18"/>
                <w:highlight w:val="none"/>
              </w:rPr>
              <w:t>订货时应明确下列信息：</w:t>
            </w:r>
          </w:p>
          <w:p>
            <w:pPr>
              <w:pStyle w:val="14"/>
              <w:numPr>
                <w:ilvl w:val="0"/>
                <w:numId w:val="0"/>
              </w:numPr>
              <w:spacing w:line="340" w:lineRule="exact"/>
              <w:ind w:left="426"/>
              <w:jc w:val="center"/>
              <w:rPr>
                <w:rFonts w:hAnsi="宋体" w:cs="宋体"/>
                <w:color w:val="auto"/>
                <w:sz w:val="18"/>
                <w:szCs w:val="18"/>
                <w:highlight w:val="none"/>
              </w:rPr>
            </w:pPr>
            <w:r>
              <w:rPr>
                <w:rFonts w:hint="eastAsia" w:hAnsi="宋体" w:cs="宋体"/>
                <w:color w:val="auto"/>
                <w:sz w:val="18"/>
                <w:szCs w:val="18"/>
                <w:highlight w:val="none"/>
              </w:rPr>
              <w:t>a)铸件材质牌号。</w:t>
            </w:r>
          </w:p>
          <w:p>
            <w:pPr>
              <w:pStyle w:val="14"/>
              <w:numPr>
                <w:ilvl w:val="0"/>
                <w:numId w:val="0"/>
              </w:numPr>
              <w:spacing w:line="340" w:lineRule="exact"/>
              <w:ind w:left="426"/>
              <w:jc w:val="center"/>
              <w:rPr>
                <w:rFonts w:hAnsi="宋体" w:cs="宋体"/>
                <w:color w:val="auto"/>
                <w:sz w:val="18"/>
                <w:szCs w:val="18"/>
                <w:highlight w:val="none"/>
              </w:rPr>
            </w:pPr>
            <w:r>
              <w:rPr>
                <w:rFonts w:hint="eastAsia" w:hAnsi="宋体" w:cs="宋体"/>
                <w:color w:val="auto"/>
                <w:sz w:val="18"/>
                <w:szCs w:val="18"/>
                <w:highlight w:val="none"/>
              </w:rPr>
              <w:t>b)铸件主要壁厚。</w:t>
            </w:r>
          </w:p>
          <w:p>
            <w:pPr>
              <w:pStyle w:val="14"/>
              <w:numPr>
                <w:ilvl w:val="0"/>
                <w:numId w:val="0"/>
              </w:numPr>
              <w:spacing w:before="0" w:after="0" w:line="340" w:lineRule="exact"/>
              <w:ind w:firstLine="360" w:firstLineChars="200"/>
              <w:jc w:val="center"/>
              <w:rPr>
                <w:rFonts w:hAnsi="宋体" w:cs="宋体"/>
                <w:color w:val="auto"/>
                <w:sz w:val="18"/>
                <w:szCs w:val="18"/>
                <w:highlight w:val="none"/>
              </w:rPr>
            </w:pPr>
            <w:r>
              <w:rPr>
                <w:rFonts w:hint="eastAsia" w:hAnsi="宋体" w:cs="宋体"/>
                <w:color w:val="auto"/>
                <w:sz w:val="18"/>
                <w:szCs w:val="18"/>
                <w:highlight w:val="none"/>
              </w:rPr>
              <w:t>c)铸件其他特殊要求</w:t>
            </w:r>
          </w:p>
          <w:p>
            <w:pPr>
              <w:pStyle w:val="12"/>
              <w:spacing w:line="340" w:lineRule="exact"/>
              <w:ind w:firstLine="360"/>
              <w:jc w:val="center"/>
              <w:rPr>
                <w:rFonts w:hAnsi="宋体" w:cs="宋体"/>
                <w:color w:val="auto"/>
                <w:sz w:val="18"/>
                <w:szCs w:val="18"/>
                <w:highlight w:val="none"/>
              </w:rPr>
            </w:pPr>
            <w:r>
              <w:rPr>
                <w:rFonts w:hint="eastAsia" w:hAnsi="宋体" w:cs="宋体"/>
                <w:color w:val="auto"/>
                <w:sz w:val="18"/>
                <w:szCs w:val="18"/>
                <w:highlight w:val="none"/>
              </w:rPr>
              <w:t>材质牌号和材料牌号是否有一些概念上的区别？第7.1.1条表述为“材料的牌号”</w:t>
            </w:r>
          </w:p>
          <w:p>
            <w:pPr>
              <w:spacing w:line="200" w:lineRule="atLeast"/>
              <w:jc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建议和GB/T 1348中表述一致</w:t>
            </w:r>
          </w:p>
        </w:tc>
        <w:tc>
          <w:tcPr>
            <w:tcW w:w="24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00" w:lineRule="atLeast"/>
              <w:jc w:val="left"/>
              <w:rPr>
                <w:rFonts w:ascii="宋体" w:hAnsi="宋体" w:eastAsia="宋体"/>
                <w:color w:val="auto"/>
                <w:sz w:val="18"/>
                <w:szCs w:val="18"/>
                <w:highlight w:val="none"/>
              </w:rPr>
            </w:pPr>
            <w:r>
              <w:rPr>
                <w:rFonts w:hint="eastAsia" w:ascii="宋体" w:hAnsi="宋体" w:eastAsia="宋体"/>
                <w:color w:val="auto"/>
                <w:sz w:val="18"/>
                <w:szCs w:val="18"/>
                <w:highlight w:val="none"/>
              </w:rPr>
              <w:t>采纳</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trike/>
                <w:color w:val="auto"/>
                <w:sz w:val="22"/>
                <w:szCs w:val="22"/>
                <w:highlight w:val="none"/>
              </w:rPr>
            </w:pPr>
          </w:p>
        </w:tc>
      </w:tr>
      <w:tr>
        <w:tblPrEx>
          <w:tblCellMar>
            <w:top w:w="0" w:type="dxa"/>
            <w:left w:w="108" w:type="dxa"/>
            <w:bottom w:w="0" w:type="dxa"/>
            <w:right w:w="108" w:type="dxa"/>
          </w:tblCellMar>
        </w:tblPrEx>
        <w:trPr>
          <w:trHeight w:val="1479" w:hRule="atLeast"/>
        </w:trPr>
        <w:tc>
          <w:tcPr>
            <w:tcW w:w="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00" w:lineRule="atLeast"/>
              <w:jc w:val="center"/>
              <w:rPr>
                <w:rFonts w:ascii="宋体" w:hAnsi="宋体" w:eastAsia="宋体"/>
                <w:color w:val="auto"/>
                <w:sz w:val="18"/>
                <w:szCs w:val="18"/>
                <w:highlight w:val="none"/>
              </w:rPr>
            </w:pPr>
            <w:r>
              <w:rPr>
                <w:rFonts w:hint="eastAsia" w:ascii="宋体" w:hAnsi="宋体" w:eastAsia="宋体"/>
                <w:color w:val="auto"/>
                <w:sz w:val="18"/>
                <w:szCs w:val="18"/>
                <w:highlight w:val="none"/>
              </w:rPr>
              <w:t>9</w:t>
            </w: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B</w:t>
            </w:r>
          </w:p>
        </w:tc>
        <w:tc>
          <w:tcPr>
            <w:tcW w:w="478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6"/>
              <w:spacing w:before="156" w:beforeLines="50" w:after="156" w:afterLines="50" w:line="240" w:lineRule="exact"/>
              <w:jc w:val="center"/>
              <w:outlineLvl w:val="9"/>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表1  单铸、并排或附铸试块的</w:t>
            </w:r>
            <w:r>
              <w:rPr>
                <w:rFonts w:hint="eastAsia" w:ascii="宋体" w:hAnsi="宋体" w:eastAsia="宋体" w:cs="宋体"/>
                <w:color w:val="auto"/>
                <w:sz w:val="18"/>
                <w:szCs w:val="18"/>
                <w:highlight w:val="none"/>
              </w:rPr>
              <w:t>力学性能</w:t>
            </w:r>
          </w:p>
          <w:p>
            <w:pPr>
              <w:spacing w:line="200" w:lineRule="atLeast"/>
              <w:jc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力学性能应该包含拉伸性能、冲击性能等，此处建议和GB/T 1348中表述一致，改为拉伸性能</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00" w:lineRule="atLeast"/>
              <w:jc w:val="left"/>
              <w:rPr>
                <w:rFonts w:ascii="宋体" w:hAnsi="宋体" w:eastAsia="宋体"/>
                <w:color w:val="auto"/>
                <w:sz w:val="18"/>
                <w:szCs w:val="18"/>
                <w:highlight w:val="none"/>
              </w:rPr>
            </w:pPr>
            <w:r>
              <w:rPr>
                <w:rFonts w:hint="eastAsia" w:ascii="宋体" w:hAnsi="宋体" w:eastAsia="宋体"/>
                <w:color w:val="auto"/>
                <w:sz w:val="18"/>
                <w:szCs w:val="18"/>
                <w:highlight w:val="none"/>
              </w:rPr>
              <w:t>采纳</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auto"/>
                <w:sz w:val="22"/>
                <w:szCs w:val="22"/>
                <w:highlight w:val="none"/>
              </w:rPr>
            </w:pPr>
          </w:p>
        </w:tc>
      </w:tr>
      <w:tr>
        <w:tblPrEx>
          <w:tblCellMar>
            <w:top w:w="0" w:type="dxa"/>
            <w:left w:w="108" w:type="dxa"/>
            <w:bottom w:w="0" w:type="dxa"/>
            <w:right w:w="108" w:type="dxa"/>
          </w:tblCellMar>
        </w:tblPrEx>
        <w:trPr>
          <w:trHeight w:val="1270" w:hRule="atLeast"/>
        </w:trPr>
        <w:tc>
          <w:tcPr>
            <w:tcW w:w="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00" w:lineRule="atLeast"/>
              <w:jc w:val="center"/>
              <w:rPr>
                <w:rFonts w:ascii="宋体" w:hAnsi="宋体" w:eastAsia="宋体"/>
                <w:color w:val="auto"/>
                <w:sz w:val="18"/>
                <w:szCs w:val="18"/>
                <w:highlight w:val="none"/>
              </w:rPr>
            </w:pPr>
            <w:r>
              <w:rPr>
                <w:rFonts w:hint="eastAsia" w:ascii="宋体" w:hAnsi="宋体" w:eastAsia="宋体"/>
                <w:color w:val="auto"/>
                <w:sz w:val="18"/>
                <w:szCs w:val="18"/>
                <w:highlight w:val="none"/>
              </w:rPr>
              <w:t>1</w:t>
            </w:r>
            <w:r>
              <w:rPr>
                <w:rFonts w:ascii="宋体" w:hAnsi="宋体" w:eastAsia="宋体"/>
                <w:color w:val="auto"/>
                <w:sz w:val="18"/>
                <w:szCs w:val="18"/>
                <w:highlight w:val="none"/>
              </w:rPr>
              <w:t>0</w:t>
            </w: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B</w:t>
            </w:r>
          </w:p>
        </w:tc>
        <w:tc>
          <w:tcPr>
            <w:tcW w:w="478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156" w:after="156" w:line="340" w:lineRule="exact"/>
              <w:jc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7.2 石墨组织</w:t>
            </w:r>
          </w:p>
          <w:p>
            <w:pPr>
              <w:pStyle w:val="12"/>
              <w:ind w:firstLine="360"/>
              <w:jc w:val="center"/>
              <w:rPr>
                <w:rFonts w:hAnsi="宋体" w:cs="宋体"/>
                <w:color w:val="auto"/>
                <w:sz w:val="18"/>
                <w:szCs w:val="18"/>
                <w:highlight w:val="none"/>
              </w:rPr>
            </w:pPr>
            <w:r>
              <w:rPr>
                <w:rFonts w:hint="eastAsia" w:hAnsi="宋体" w:cs="宋体"/>
                <w:color w:val="auto"/>
                <w:sz w:val="18"/>
                <w:szCs w:val="18"/>
                <w:highlight w:val="none"/>
              </w:rPr>
              <w:t>建议改为“石墨形态”</w:t>
            </w:r>
          </w:p>
          <w:p>
            <w:pPr>
              <w:spacing w:line="200" w:lineRule="atLeast"/>
              <w:jc w:val="center"/>
              <w:rPr>
                <w:rFonts w:ascii="宋体" w:hAnsi="宋体" w:eastAsia="宋体" w:cs="宋体"/>
                <w:color w:val="auto"/>
                <w:sz w:val="18"/>
                <w:szCs w:val="18"/>
                <w:highlight w:val="none"/>
              </w:rPr>
            </w:pP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00" w:lineRule="atLeast"/>
              <w:jc w:val="left"/>
              <w:rPr>
                <w:rFonts w:ascii="宋体" w:hAnsi="宋体" w:eastAsia="宋体"/>
                <w:color w:val="auto"/>
                <w:sz w:val="18"/>
                <w:szCs w:val="18"/>
                <w:highlight w:val="none"/>
              </w:rPr>
            </w:pPr>
            <w:r>
              <w:rPr>
                <w:rFonts w:hint="eastAsia" w:ascii="宋体" w:hAnsi="宋体" w:eastAsia="宋体"/>
                <w:color w:val="auto"/>
                <w:sz w:val="18"/>
                <w:szCs w:val="18"/>
                <w:highlight w:val="none"/>
              </w:rPr>
              <w:t>采纳</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auto"/>
                <w:kern w:val="0"/>
                <w:sz w:val="22"/>
                <w:szCs w:val="22"/>
                <w:highlight w:val="none"/>
                <w:lang w:bidi="ar"/>
              </w:rPr>
            </w:pPr>
          </w:p>
        </w:tc>
      </w:tr>
      <w:tr>
        <w:tblPrEx>
          <w:tblCellMar>
            <w:top w:w="0" w:type="dxa"/>
            <w:left w:w="108" w:type="dxa"/>
            <w:bottom w:w="0" w:type="dxa"/>
            <w:right w:w="108" w:type="dxa"/>
          </w:tblCellMar>
        </w:tblPrEx>
        <w:trPr>
          <w:trHeight w:val="1052" w:hRule="atLeast"/>
        </w:trPr>
        <w:tc>
          <w:tcPr>
            <w:tcW w:w="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00" w:lineRule="atLeast"/>
              <w:jc w:val="center"/>
              <w:rPr>
                <w:rFonts w:ascii="宋体" w:hAnsi="宋体" w:eastAsia="宋体"/>
                <w:color w:val="auto"/>
                <w:sz w:val="18"/>
                <w:szCs w:val="18"/>
                <w:highlight w:val="none"/>
              </w:rPr>
            </w:pPr>
            <w:r>
              <w:rPr>
                <w:rFonts w:hint="eastAsia" w:ascii="宋体" w:hAnsi="宋体" w:eastAsia="宋体"/>
                <w:color w:val="auto"/>
                <w:sz w:val="18"/>
                <w:szCs w:val="18"/>
                <w:highlight w:val="none"/>
              </w:rPr>
              <w:t>1</w:t>
            </w:r>
            <w:r>
              <w:rPr>
                <w:rFonts w:ascii="宋体" w:hAnsi="宋体" w:eastAsia="宋体"/>
                <w:color w:val="auto"/>
                <w:sz w:val="18"/>
                <w:szCs w:val="18"/>
                <w:highlight w:val="none"/>
              </w:rPr>
              <w:t>1</w:t>
            </w: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B</w:t>
            </w:r>
          </w:p>
        </w:tc>
        <w:tc>
          <w:tcPr>
            <w:tcW w:w="478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156" w:after="156" w:line="340" w:lineRule="exact"/>
              <w:jc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7.6 铸件的表面质量</w:t>
            </w:r>
          </w:p>
          <w:p>
            <w:pPr>
              <w:spacing w:line="200" w:lineRule="atLeast"/>
              <w:jc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相关的一些表述用词，如：多肉、</w:t>
            </w:r>
            <w:r>
              <w:rPr>
                <w:rFonts w:hint="eastAsia" w:ascii="宋体" w:hAnsi="宋体" w:eastAsia="宋体" w:cs="宋体"/>
                <w:color w:val="auto"/>
                <w:sz w:val="18"/>
                <w:szCs w:val="18"/>
                <w:highlight w:val="none"/>
              </w:rPr>
              <w:t>飞翅、毛刺、飞边、</w:t>
            </w:r>
            <w:r>
              <w:rPr>
                <w:rFonts w:hint="eastAsia" w:ascii="宋体" w:hAnsi="宋体" w:eastAsia="宋体" w:cs="宋体"/>
                <w:color w:val="auto"/>
                <w:kern w:val="0"/>
                <w:sz w:val="18"/>
                <w:szCs w:val="18"/>
                <w:highlight w:val="none"/>
              </w:rPr>
              <w:t>披缝（还是披锋？）等等，经常混淆使用，是否可以规范一下，至少在本标准中希望能考虑一下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00" w:lineRule="atLeast"/>
              <w:jc w:val="left"/>
              <w:rPr>
                <w:rFonts w:ascii="宋体" w:hAnsi="宋体" w:eastAsia="宋体"/>
                <w:color w:val="auto"/>
                <w:sz w:val="18"/>
                <w:szCs w:val="18"/>
                <w:highlight w:val="none"/>
              </w:rPr>
            </w:pPr>
            <w:r>
              <w:rPr>
                <w:rFonts w:hint="eastAsia" w:ascii="宋体" w:hAnsi="宋体" w:eastAsia="宋体"/>
                <w:color w:val="auto"/>
                <w:sz w:val="18"/>
                <w:szCs w:val="18"/>
                <w:highlight w:val="none"/>
              </w:rPr>
              <w:t>采纳</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auto"/>
                <w:kern w:val="0"/>
                <w:sz w:val="22"/>
                <w:szCs w:val="22"/>
                <w:highlight w:val="none"/>
                <w:lang w:bidi="ar"/>
              </w:rPr>
            </w:pPr>
          </w:p>
        </w:tc>
      </w:tr>
      <w:tr>
        <w:tblPrEx>
          <w:tblCellMar>
            <w:top w:w="0" w:type="dxa"/>
            <w:left w:w="108" w:type="dxa"/>
            <w:bottom w:w="0" w:type="dxa"/>
            <w:right w:w="108" w:type="dxa"/>
          </w:tblCellMar>
        </w:tblPrEx>
        <w:trPr>
          <w:trHeight w:val="1052" w:hRule="atLeast"/>
        </w:trPr>
        <w:tc>
          <w:tcPr>
            <w:tcW w:w="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00" w:lineRule="atLeast"/>
              <w:jc w:val="center"/>
              <w:rPr>
                <w:rFonts w:ascii="宋体" w:hAnsi="宋体" w:eastAsia="宋体"/>
                <w:color w:val="auto"/>
                <w:sz w:val="18"/>
                <w:szCs w:val="18"/>
                <w:highlight w:val="none"/>
              </w:rPr>
            </w:pPr>
            <w:r>
              <w:rPr>
                <w:rFonts w:ascii="宋体" w:hAnsi="宋体" w:eastAsia="宋体"/>
                <w:color w:val="auto"/>
                <w:sz w:val="18"/>
                <w:szCs w:val="18"/>
                <w:highlight w:val="none"/>
              </w:rPr>
              <w:t>12</w:t>
            </w: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C</w:t>
            </w:r>
          </w:p>
        </w:tc>
        <w:tc>
          <w:tcPr>
            <w:tcW w:w="478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00" w:lineRule="atLeast"/>
              <w:jc w:val="center"/>
              <w:rPr>
                <w:rFonts w:ascii="宋体" w:hAnsi="宋体" w:eastAsia="宋体"/>
                <w:color w:val="auto"/>
                <w:sz w:val="18"/>
                <w:szCs w:val="18"/>
                <w:highlight w:val="none"/>
              </w:rPr>
            </w:pPr>
            <w:r>
              <w:rPr>
                <w:rFonts w:hint="eastAsia" w:ascii="宋体" w:hAnsi="宋体" w:eastAsia="宋体"/>
                <w:color w:val="auto"/>
                <w:sz w:val="18"/>
                <w:szCs w:val="18"/>
                <w:highlight w:val="none"/>
              </w:rPr>
              <w:t>表1的各项指标一般为强制标准，而硬度是参考指标，建议分开</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00" w:lineRule="atLeast"/>
              <w:rPr>
                <w:rFonts w:ascii="宋体" w:hAnsi="宋体" w:eastAsia="宋体"/>
                <w:color w:val="auto"/>
                <w:sz w:val="18"/>
                <w:szCs w:val="18"/>
                <w:highlight w:val="none"/>
              </w:rPr>
            </w:pPr>
            <w:r>
              <w:rPr>
                <w:rFonts w:ascii="宋体" w:hAnsi="宋体" w:eastAsia="宋体"/>
                <w:color w:val="auto"/>
                <w:sz w:val="18"/>
                <w:szCs w:val="18"/>
                <w:highlight w:val="none"/>
              </w:rPr>
              <w:t>采纳</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auto"/>
                <w:kern w:val="0"/>
                <w:sz w:val="22"/>
                <w:szCs w:val="22"/>
                <w:highlight w:val="none"/>
                <w:lang w:bidi="ar"/>
              </w:rPr>
            </w:pPr>
          </w:p>
        </w:tc>
      </w:tr>
      <w:tr>
        <w:tblPrEx>
          <w:tblCellMar>
            <w:top w:w="0" w:type="dxa"/>
            <w:left w:w="108" w:type="dxa"/>
            <w:bottom w:w="0" w:type="dxa"/>
            <w:right w:w="108" w:type="dxa"/>
          </w:tblCellMar>
        </w:tblPrEx>
        <w:trPr>
          <w:trHeight w:val="1052" w:hRule="atLeast"/>
        </w:trPr>
        <w:tc>
          <w:tcPr>
            <w:tcW w:w="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00" w:lineRule="atLeast"/>
              <w:jc w:val="center"/>
              <w:rPr>
                <w:rFonts w:ascii="宋体" w:hAnsi="宋体" w:eastAsia="宋体"/>
                <w:color w:val="auto"/>
                <w:sz w:val="18"/>
                <w:szCs w:val="18"/>
                <w:highlight w:val="none"/>
              </w:rPr>
            </w:pPr>
            <w:r>
              <w:rPr>
                <w:rFonts w:ascii="宋体" w:hAnsi="宋体" w:eastAsia="宋体"/>
                <w:color w:val="auto"/>
                <w:sz w:val="18"/>
                <w:szCs w:val="18"/>
                <w:highlight w:val="none"/>
              </w:rPr>
              <w:t>13</w:t>
            </w: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C</w:t>
            </w:r>
          </w:p>
        </w:tc>
        <w:tc>
          <w:tcPr>
            <w:tcW w:w="478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00" w:lineRule="atLeast"/>
              <w:jc w:val="center"/>
              <w:rPr>
                <w:rFonts w:ascii="宋体" w:hAnsi="宋体" w:eastAsia="宋体"/>
                <w:color w:val="auto"/>
                <w:sz w:val="18"/>
                <w:szCs w:val="18"/>
                <w:highlight w:val="none"/>
              </w:rPr>
            </w:pPr>
            <w:r>
              <w:rPr>
                <w:rFonts w:hint="eastAsia" w:ascii="宋体" w:hAnsi="宋体" w:eastAsia="宋体"/>
                <w:color w:val="auto"/>
                <w:sz w:val="18"/>
                <w:szCs w:val="18"/>
                <w:highlight w:val="none"/>
              </w:rPr>
              <w:t>表1是根据试块测试而来，并不能真实反映本体的力学性能。</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00" w:lineRule="atLeast"/>
              <w:jc w:val="left"/>
              <w:rPr>
                <w:rFonts w:ascii="宋体" w:hAnsi="宋体" w:eastAsia="宋体"/>
                <w:color w:val="auto"/>
                <w:sz w:val="18"/>
                <w:szCs w:val="18"/>
                <w:highlight w:val="none"/>
              </w:rPr>
            </w:pPr>
            <w:r>
              <w:rPr>
                <w:rFonts w:hint="eastAsia" w:ascii="宋体" w:hAnsi="宋体" w:eastAsia="宋体"/>
                <w:color w:val="auto"/>
                <w:sz w:val="18"/>
                <w:szCs w:val="18"/>
                <w:highlight w:val="none"/>
              </w:rPr>
              <w:t>不采纳。已经说明是单铸、并排或附铸试样的拉伸性能</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auto"/>
                <w:kern w:val="0"/>
                <w:sz w:val="22"/>
                <w:szCs w:val="22"/>
                <w:highlight w:val="none"/>
                <w:lang w:bidi="ar"/>
              </w:rPr>
            </w:pPr>
          </w:p>
        </w:tc>
      </w:tr>
      <w:tr>
        <w:tblPrEx>
          <w:tblCellMar>
            <w:top w:w="0" w:type="dxa"/>
            <w:left w:w="108" w:type="dxa"/>
            <w:bottom w:w="0" w:type="dxa"/>
            <w:right w:w="108" w:type="dxa"/>
          </w:tblCellMar>
        </w:tblPrEx>
        <w:trPr>
          <w:trHeight w:val="1052" w:hRule="atLeast"/>
        </w:trPr>
        <w:tc>
          <w:tcPr>
            <w:tcW w:w="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00" w:lineRule="atLeast"/>
              <w:jc w:val="center"/>
              <w:rPr>
                <w:rFonts w:ascii="宋体" w:hAnsi="宋体" w:eastAsia="宋体"/>
                <w:color w:val="auto"/>
                <w:sz w:val="18"/>
                <w:szCs w:val="18"/>
                <w:highlight w:val="none"/>
              </w:rPr>
            </w:pPr>
            <w:r>
              <w:rPr>
                <w:rFonts w:ascii="宋体" w:hAnsi="宋体" w:eastAsia="宋体"/>
                <w:color w:val="auto"/>
                <w:sz w:val="18"/>
                <w:szCs w:val="18"/>
                <w:highlight w:val="none"/>
              </w:rPr>
              <w:t>14</w:t>
            </w: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22"/>
                <w:szCs w:val="22"/>
                <w:highlight w:val="none"/>
                <w:lang w:bidi="ar"/>
              </w:rPr>
            </w:pPr>
          </w:p>
        </w:tc>
        <w:tc>
          <w:tcPr>
            <w:tcW w:w="478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olor w:val="auto"/>
                <w:sz w:val="18"/>
                <w:szCs w:val="18"/>
                <w:highlight w:val="none"/>
              </w:rPr>
            </w:pPr>
            <w:r>
              <w:rPr>
                <w:rFonts w:hint="eastAsia" w:ascii="宋体" w:hAnsi="宋体" w:eastAsia="宋体"/>
                <w:color w:val="auto"/>
                <w:sz w:val="18"/>
                <w:szCs w:val="18"/>
                <w:highlight w:val="none"/>
              </w:rPr>
              <w:t>4</w:t>
            </w:r>
            <w:r>
              <w:rPr>
                <w:rFonts w:ascii="宋体" w:hAnsi="宋体" w:eastAsia="宋体"/>
                <w:color w:val="auto"/>
                <w:sz w:val="18"/>
                <w:szCs w:val="18"/>
                <w:highlight w:val="none"/>
              </w:rPr>
              <w:t>.11/4.12—</w:t>
            </w:r>
            <w:r>
              <w:rPr>
                <w:rFonts w:hint="eastAsia" w:ascii="宋体" w:hAnsi="宋体" w:eastAsia="宋体"/>
                <w:color w:val="auto"/>
                <w:sz w:val="18"/>
                <w:szCs w:val="18"/>
                <w:highlight w:val="none"/>
              </w:rPr>
              <w:t>群中讨论内容</w:t>
            </w:r>
            <w:r>
              <w:rPr>
                <w:rFonts w:hint="eastAsia" w:ascii="宋体" w:hAnsi="宋体" w:eastAsia="宋体"/>
                <w:color w:val="auto"/>
                <w:sz w:val="18"/>
                <w:szCs w:val="18"/>
                <w:highlight w:val="none"/>
              </w:rPr>
              <w:t>：针对Q</w:t>
            </w:r>
            <w:r>
              <w:rPr>
                <w:rFonts w:ascii="宋体" w:hAnsi="宋体" w:eastAsia="宋体"/>
                <w:color w:val="auto"/>
                <w:sz w:val="18"/>
                <w:szCs w:val="18"/>
                <w:highlight w:val="none"/>
              </w:rPr>
              <w:t>T700</w:t>
            </w:r>
            <w:r>
              <w:rPr>
                <w:rFonts w:hint="eastAsia" w:ascii="宋体" w:hAnsi="宋体" w:eastAsia="宋体"/>
                <w:color w:val="auto"/>
                <w:sz w:val="18"/>
                <w:szCs w:val="18"/>
                <w:highlight w:val="none"/>
              </w:rPr>
              <w:t>延伸率问题</w:t>
            </w:r>
          </w:p>
          <w:p>
            <w:pPr>
              <w:spacing w:line="200" w:lineRule="atLeast"/>
              <w:jc w:val="center"/>
              <w:rPr>
                <w:rFonts w:ascii="宋体" w:hAnsi="宋体" w:eastAsia="宋体"/>
                <w:color w:val="auto"/>
                <w:sz w:val="18"/>
                <w:szCs w:val="18"/>
                <w:highlight w:val="none"/>
              </w:rPr>
            </w:pP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00" w:lineRule="atLeast"/>
              <w:jc w:val="left"/>
              <w:rPr>
                <w:rFonts w:ascii="宋体" w:hAnsi="宋体" w:eastAsia="宋体"/>
                <w:color w:val="auto"/>
                <w:sz w:val="18"/>
                <w:szCs w:val="18"/>
                <w:highlight w:val="none"/>
              </w:rPr>
            </w:pPr>
            <w:r>
              <w:rPr>
                <w:rFonts w:hint="eastAsia" w:ascii="宋体" w:hAnsi="宋体" w:eastAsia="宋体"/>
                <w:color w:val="auto"/>
                <w:sz w:val="18"/>
                <w:szCs w:val="18"/>
                <w:highlight w:val="none"/>
              </w:rPr>
              <w:t>采纳。增加Q</w:t>
            </w:r>
            <w:r>
              <w:rPr>
                <w:rFonts w:ascii="宋体" w:hAnsi="宋体" w:eastAsia="宋体"/>
                <w:color w:val="auto"/>
                <w:sz w:val="18"/>
                <w:szCs w:val="18"/>
                <w:highlight w:val="none"/>
              </w:rPr>
              <w:t>T700-10和</w:t>
            </w:r>
            <w:r>
              <w:rPr>
                <w:rFonts w:hint="eastAsia" w:ascii="宋体" w:hAnsi="宋体" w:eastAsia="宋体"/>
                <w:color w:val="auto"/>
                <w:sz w:val="18"/>
                <w:szCs w:val="18"/>
                <w:highlight w:val="none"/>
              </w:rPr>
              <w:t>Q</w:t>
            </w:r>
            <w:r>
              <w:rPr>
                <w:rFonts w:ascii="宋体" w:hAnsi="宋体" w:eastAsia="宋体"/>
                <w:color w:val="auto"/>
                <w:sz w:val="18"/>
                <w:szCs w:val="18"/>
                <w:highlight w:val="none"/>
              </w:rPr>
              <w:t>T700-8材料牌号</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auto"/>
                <w:kern w:val="0"/>
                <w:sz w:val="22"/>
                <w:szCs w:val="22"/>
                <w:highlight w:val="none"/>
                <w:lang w:bidi="ar"/>
              </w:rPr>
            </w:pPr>
          </w:p>
        </w:tc>
      </w:tr>
      <w:tr>
        <w:tblPrEx>
          <w:tblCellMar>
            <w:top w:w="0" w:type="dxa"/>
            <w:left w:w="108" w:type="dxa"/>
            <w:bottom w:w="0" w:type="dxa"/>
            <w:right w:w="108" w:type="dxa"/>
          </w:tblCellMar>
        </w:tblPrEx>
        <w:trPr>
          <w:trHeight w:val="1550" w:hRule="atLeast"/>
        </w:trPr>
        <w:tc>
          <w:tcPr>
            <w:tcW w:w="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00" w:lineRule="atLeast"/>
              <w:jc w:val="center"/>
              <w:rPr>
                <w:rFonts w:ascii="宋体" w:hAnsi="宋体" w:eastAsia="宋体"/>
                <w:color w:val="auto"/>
                <w:sz w:val="18"/>
                <w:szCs w:val="18"/>
                <w:highlight w:val="none"/>
              </w:rPr>
            </w:pPr>
            <w:r>
              <w:rPr>
                <w:rFonts w:ascii="宋体" w:hAnsi="宋体" w:eastAsia="宋体"/>
                <w:color w:val="auto"/>
                <w:sz w:val="18"/>
                <w:szCs w:val="18"/>
                <w:highlight w:val="none"/>
              </w:rPr>
              <w:t>15</w:t>
            </w: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22"/>
                <w:szCs w:val="22"/>
                <w:highlight w:val="none"/>
                <w:lang w:bidi="ar"/>
              </w:rPr>
            </w:pPr>
          </w:p>
        </w:tc>
        <w:tc>
          <w:tcPr>
            <w:tcW w:w="478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olor w:val="auto"/>
                <w:sz w:val="18"/>
                <w:szCs w:val="18"/>
                <w:highlight w:val="none"/>
              </w:rPr>
            </w:pPr>
            <w:r>
              <w:rPr>
                <w:rFonts w:hint="eastAsia" w:ascii="宋体" w:hAnsi="宋体" w:eastAsia="宋体"/>
                <w:color w:val="auto"/>
                <w:sz w:val="18"/>
                <w:szCs w:val="18"/>
                <w:highlight w:val="none"/>
              </w:rPr>
              <w:t>4</w:t>
            </w:r>
            <w:r>
              <w:rPr>
                <w:rFonts w:ascii="宋体" w:hAnsi="宋体" w:eastAsia="宋体"/>
                <w:color w:val="auto"/>
                <w:sz w:val="18"/>
                <w:szCs w:val="18"/>
                <w:highlight w:val="none"/>
              </w:rPr>
              <w:t>.15</w:t>
            </w:r>
            <w:r>
              <w:rPr>
                <w:rFonts w:hint="eastAsia" w:ascii="宋体" w:hAnsi="宋体" w:eastAsia="宋体"/>
                <w:color w:val="auto"/>
                <w:sz w:val="18"/>
                <w:szCs w:val="18"/>
                <w:highlight w:val="none"/>
              </w:rPr>
              <w:t>群中讨论内容</w:t>
            </w:r>
            <w:r>
              <w:rPr>
                <w:rFonts w:hint="eastAsia" w:ascii="宋体" w:hAnsi="宋体" w:eastAsia="宋体"/>
                <w:color w:val="auto"/>
                <w:sz w:val="18"/>
                <w:szCs w:val="18"/>
                <w:highlight w:val="none"/>
              </w:rPr>
              <w:t>：1</w:t>
            </w:r>
            <w:r>
              <w:rPr>
                <w:rFonts w:ascii="宋体" w:hAnsi="宋体" w:eastAsia="宋体"/>
                <w:color w:val="auto"/>
                <w:sz w:val="18"/>
                <w:szCs w:val="18"/>
                <w:highlight w:val="none"/>
              </w:rPr>
              <w:t>.</w:t>
            </w:r>
            <w:r>
              <w:rPr>
                <w:rFonts w:hint="eastAsia" w:ascii="宋体" w:hAnsi="宋体" w:eastAsia="宋体"/>
                <w:color w:val="auto"/>
                <w:sz w:val="18"/>
                <w:szCs w:val="18"/>
                <w:highlight w:val="none"/>
              </w:rPr>
              <w:t>针对</w:t>
            </w:r>
            <w:r>
              <w:rPr>
                <w:rFonts w:ascii="宋体" w:hAnsi="宋体" w:eastAsia="宋体"/>
                <w:color w:val="auto"/>
                <w:sz w:val="18"/>
                <w:szCs w:val="18"/>
                <w:highlight w:val="none"/>
              </w:rPr>
              <w:t>高强度高塑性球墨铸铁，定义描述问题</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00" w:lineRule="atLeast"/>
              <w:jc w:val="left"/>
              <w:rPr>
                <w:rFonts w:ascii="宋体" w:hAnsi="宋体" w:eastAsia="宋体"/>
                <w:color w:val="auto"/>
                <w:sz w:val="18"/>
                <w:szCs w:val="18"/>
                <w:highlight w:val="none"/>
              </w:rPr>
            </w:pPr>
            <w:r>
              <w:rPr>
                <w:rFonts w:hint="eastAsia" w:ascii="宋体" w:hAnsi="宋体" w:eastAsia="宋体"/>
                <w:color w:val="auto"/>
                <w:sz w:val="18"/>
                <w:szCs w:val="18"/>
                <w:highlight w:val="none"/>
              </w:rPr>
              <w:t>采纳。改为“以细片状珠光体为主要基体、兼有高强度和高塑性的球墨铸铁，其抗拉强度≥ 700</w:t>
            </w:r>
            <w:r>
              <w:rPr>
                <w:rFonts w:ascii="宋体" w:hAnsi="宋体" w:eastAsia="宋体"/>
                <w:color w:val="auto"/>
                <w:sz w:val="18"/>
                <w:szCs w:val="18"/>
                <w:highlight w:val="none"/>
              </w:rPr>
              <w:t xml:space="preserve"> </w:t>
            </w:r>
            <w:r>
              <w:rPr>
                <w:rFonts w:hint="eastAsia" w:ascii="宋体" w:hAnsi="宋体" w:eastAsia="宋体"/>
                <w:color w:val="auto"/>
                <w:sz w:val="18"/>
                <w:szCs w:val="18"/>
                <w:highlight w:val="none"/>
              </w:rPr>
              <w:t>Mpa，且伸长率≥ 5</w:t>
            </w:r>
            <w:r>
              <w:rPr>
                <w:rFonts w:ascii="宋体" w:hAnsi="宋体" w:eastAsia="宋体"/>
                <w:color w:val="auto"/>
                <w:sz w:val="18"/>
                <w:szCs w:val="18"/>
                <w:highlight w:val="none"/>
              </w:rPr>
              <w:t xml:space="preserve"> </w:t>
            </w:r>
            <w:r>
              <w:rPr>
                <w:rFonts w:hint="eastAsia" w:ascii="宋体" w:hAnsi="宋体" w:eastAsia="宋体"/>
                <w:color w:val="auto"/>
                <w:sz w:val="18"/>
                <w:szCs w:val="18"/>
                <w:highlight w:val="none"/>
              </w:rPr>
              <w:t>%”</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auto"/>
                <w:kern w:val="0"/>
                <w:sz w:val="22"/>
                <w:szCs w:val="22"/>
                <w:highlight w:val="none"/>
                <w:lang w:bidi="ar"/>
              </w:rPr>
            </w:pPr>
          </w:p>
        </w:tc>
      </w:tr>
      <w:tr>
        <w:tblPrEx>
          <w:tblCellMar>
            <w:top w:w="0" w:type="dxa"/>
            <w:left w:w="108" w:type="dxa"/>
            <w:bottom w:w="0" w:type="dxa"/>
            <w:right w:w="108" w:type="dxa"/>
          </w:tblCellMar>
        </w:tblPrEx>
        <w:trPr>
          <w:trHeight w:val="1061" w:hRule="atLeast"/>
        </w:trPr>
        <w:tc>
          <w:tcPr>
            <w:tcW w:w="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00" w:lineRule="atLeast"/>
              <w:jc w:val="center"/>
              <w:rPr>
                <w:rFonts w:ascii="宋体" w:hAnsi="宋体" w:eastAsia="宋体"/>
                <w:color w:val="auto"/>
                <w:sz w:val="18"/>
                <w:szCs w:val="18"/>
                <w:highlight w:val="none"/>
              </w:rPr>
            </w:pPr>
            <w:r>
              <w:rPr>
                <w:rFonts w:ascii="宋体" w:hAnsi="宋体" w:eastAsia="宋体"/>
                <w:color w:val="auto"/>
                <w:sz w:val="18"/>
                <w:szCs w:val="18"/>
                <w:highlight w:val="none"/>
              </w:rPr>
              <w:t>16</w:t>
            </w: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22"/>
                <w:szCs w:val="22"/>
                <w:highlight w:val="none"/>
                <w:lang w:bidi="ar"/>
              </w:rPr>
            </w:pPr>
          </w:p>
        </w:tc>
        <w:tc>
          <w:tcPr>
            <w:tcW w:w="478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olor w:val="auto"/>
                <w:sz w:val="18"/>
                <w:szCs w:val="18"/>
                <w:highlight w:val="none"/>
              </w:rPr>
            </w:pPr>
            <w:r>
              <w:rPr>
                <w:rFonts w:hint="eastAsia" w:ascii="宋体" w:hAnsi="宋体" w:eastAsia="宋体"/>
                <w:color w:val="auto"/>
                <w:sz w:val="18"/>
                <w:szCs w:val="18"/>
                <w:highlight w:val="none"/>
              </w:rPr>
              <w:t>4</w:t>
            </w:r>
            <w:r>
              <w:rPr>
                <w:rFonts w:ascii="宋体" w:hAnsi="宋体" w:eastAsia="宋体"/>
                <w:color w:val="auto"/>
                <w:sz w:val="18"/>
                <w:szCs w:val="18"/>
                <w:highlight w:val="none"/>
              </w:rPr>
              <w:t>.15</w:t>
            </w:r>
            <w:r>
              <w:rPr>
                <w:rFonts w:hint="eastAsia" w:ascii="宋体" w:hAnsi="宋体" w:eastAsia="宋体"/>
                <w:color w:val="auto"/>
                <w:sz w:val="18"/>
                <w:szCs w:val="18"/>
                <w:highlight w:val="none"/>
              </w:rPr>
              <w:t>群中讨论内容</w:t>
            </w:r>
            <w:r>
              <w:rPr>
                <w:rFonts w:hint="eastAsia" w:ascii="宋体" w:hAnsi="宋体" w:eastAsia="宋体"/>
                <w:color w:val="auto"/>
                <w:sz w:val="18"/>
                <w:szCs w:val="18"/>
                <w:highlight w:val="none"/>
              </w:rPr>
              <w:t>：2</w:t>
            </w:r>
            <w:r>
              <w:rPr>
                <w:rFonts w:ascii="宋体" w:hAnsi="宋体" w:eastAsia="宋体"/>
                <w:color w:val="auto"/>
                <w:sz w:val="18"/>
                <w:szCs w:val="18"/>
                <w:highlight w:val="none"/>
              </w:rPr>
              <w:t>.</w:t>
            </w:r>
            <w:r>
              <w:rPr>
                <w:rFonts w:hint="eastAsia" w:ascii="宋体" w:hAnsi="宋体" w:eastAsia="宋体"/>
                <w:color w:val="auto"/>
                <w:sz w:val="18"/>
                <w:szCs w:val="18"/>
                <w:highlight w:val="none"/>
              </w:rPr>
              <w:t>针对</w:t>
            </w:r>
            <w:r>
              <w:rPr>
                <w:rFonts w:ascii="宋体" w:hAnsi="宋体" w:eastAsia="宋体"/>
                <w:color w:val="auto"/>
                <w:sz w:val="18"/>
                <w:szCs w:val="18"/>
                <w:highlight w:val="none"/>
              </w:rPr>
              <w:t>高</w:t>
            </w:r>
            <w:r>
              <w:rPr>
                <w:rFonts w:hint="eastAsia" w:ascii="宋体" w:hAnsi="宋体" w:eastAsia="宋体"/>
                <w:color w:val="auto"/>
                <w:sz w:val="18"/>
                <w:szCs w:val="18"/>
                <w:highlight w:val="none"/>
              </w:rPr>
              <w:t>石墨</w:t>
            </w:r>
            <w:r>
              <w:rPr>
                <w:rFonts w:ascii="宋体" w:hAnsi="宋体" w:eastAsia="宋体"/>
                <w:color w:val="auto"/>
                <w:sz w:val="18"/>
                <w:szCs w:val="18"/>
                <w:highlight w:val="none"/>
              </w:rPr>
              <w:t>组织和珠光体，定义描述问题</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00" w:lineRule="atLeast"/>
              <w:jc w:val="left"/>
              <w:rPr>
                <w:rFonts w:ascii="宋体" w:hAnsi="宋体" w:eastAsia="宋体"/>
                <w:color w:val="auto"/>
                <w:sz w:val="18"/>
                <w:szCs w:val="18"/>
                <w:highlight w:val="none"/>
              </w:rPr>
            </w:pPr>
            <w:r>
              <w:rPr>
                <w:rFonts w:hint="eastAsia" w:ascii="宋体" w:hAnsi="宋体" w:eastAsia="宋体"/>
                <w:color w:val="auto"/>
                <w:sz w:val="18"/>
                <w:szCs w:val="18"/>
                <w:highlight w:val="none"/>
              </w:rPr>
              <w:t>不采纳。5种不同牌号，不同工艺，珠光体范围差异较大</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auto"/>
                <w:kern w:val="0"/>
                <w:sz w:val="22"/>
                <w:szCs w:val="22"/>
                <w:highlight w:val="none"/>
                <w:lang w:bidi="ar"/>
              </w:rPr>
            </w:pPr>
          </w:p>
        </w:tc>
      </w:tr>
    </w:tbl>
    <w:p>
      <w:pPr>
        <w:spacing w:before="156" w:beforeLines="50" w:after="156" w:afterLines="50" w:line="440" w:lineRule="exact"/>
        <w:ind w:firstLine="480" w:firstLineChars="200"/>
        <w:outlineLvl w:val="0"/>
        <w:rPr>
          <w:rFonts w:ascii="宋体" w:hAnsi="宋体" w:eastAsia="宋体"/>
          <w:color w:val="auto"/>
          <w:sz w:val="24"/>
          <w:highlight w:val="none"/>
        </w:rPr>
      </w:pPr>
    </w:p>
    <w:p>
      <w:pPr>
        <w:numPr>
          <w:ilvl w:val="0"/>
          <w:numId w:val="3"/>
        </w:numPr>
        <w:spacing w:before="156" w:beforeLines="50" w:after="156" w:afterLines="50" w:line="440" w:lineRule="exact"/>
        <w:ind w:firstLine="480" w:firstLineChars="200"/>
        <w:rPr>
          <w:rFonts w:ascii="黑体" w:hAnsi="黑体" w:eastAsia="黑体"/>
          <w:color w:val="auto"/>
          <w:sz w:val="24"/>
          <w:szCs w:val="24"/>
          <w:highlight w:val="none"/>
        </w:rPr>
      </w:pPr>
      <w:r>
        <w:rPr>
          <w:rFonts w:hint="eastAsia" w:ascii="黑体" w:hAnsi="黑体" w:eastAsia="黑体"/>
          <w:color w:val="auto"/>
          <w:sz w:val="24"/>
          <w:szCs w:val="24"/>
          <w:highlight w:val="none"/>
        </w:rPr>
        <w:t>送审阶段（应描述清楚审查会的情况和必要时的函审情况）</w:t>
      </w:r>
      <w:r>
        <w:rPr>
          <w:rFonts w:ascii="黑体" w:hAnsi="黑体" w:eastAsia="黑体"/>
          <w:color w:val="auto"/>
          <w:sz w:val="24"/>
          <w:szCs w:val="24"/>
          <w:highlight w:val="none"/>
        </w:rPr>
        <w:t>：</w:t>
      </w:r>
    </w:p>
    <w:p>
      <w:pPr>
        <w:spacing w:before="156" w:beforeLines="50" w:after="156" w:afterLines="50" w:line="440" w:lineRule="exact"/>
        <w:rPr>
          <w:rFonts w:ascii="黑体" w:hAnsi="黑体" w:eastAsia="黑体"/>
          <w:color w:val="auto"/>
          <w:sz w:val="24"/>
          <w:szCs w:val="24"/>
          <w:highlight w:val="none"/>
        </w:rPr>
      </w:pPr>
    </w:p>
    <w:p>
      <w:pPr>
        <w:spacing w:before="156" w:beforeLines="50" w:after="156" w:afterLines="50" w:line="440" w:lineRule="exact"/>
        <w:ind w:firstLine="480" w:firstLineChars="200"/>
        <w:rPr>
          <w:rFonts w:ascii="黑体" w:hAnsi="黑体" w:eastAsia="黑体"/>
          <w:color w:val="auto"/>
          <w:sz w:val="24"/>
          <w:szCs w:val="24"/>
          <w:highlight w:val="none"/>
        </w:rPr>
      </w:pPr>
      <w:r>
        <w:rPr>
          <w:rFonts w:hint="eastAsia" w:ascii="黑体" w:hAnsi="黑体" w:eastAsia="黑体"/>
          <w:color w:val="auto"/>
          <w:sz w:val="24"/>
          <w:szCs w:val="24"/>
          <w:highlight w:val="none"/>
        </w:rPr>
        <w:t>（4）报批阶段</w:t>
      </w:r>
    </w:p>
    <w:p>
      <w:pPr>
        <w:spacing w:before="156" w:beforeLines="50" w:after="156" w:afterLines="50" w:line="440" w:lineRule="exact"/>
        <w:ind w:firstLine="480" w:firstLineChars="200"/>
        <w:outlineLvl w:val="0"/>
        <w:rPr>
          <w:rFonts w:ascii="黑体" w:hAnsi="黑体" w:eastAsia="黑体"/>
          <w:color w:val="auto"/>
          <w:sz w:val="24"/>
          <w:szCs w:val="24"/>
          <w:highlight w:val="none"/>
        </w:rPr>
      </w:pPr>
      <w:r>
        <w:rPr>
          <w:rFonts w:ascii="黑体" w:hAnsi="黑体" w:eastAsia="黑体"/>
          <w:color w:val="auto"/>
          <w:sz w:val="24"/>
          <w:szCs w:val="24"/>
          <w:highlight w:val="none"/>
        </w:rPr>
        <w:t>3</w:t>
      </w:r>
      <w:r>
        <w:rPr>
          <w:rFonts w:hint="eastAsia" w:ascii="黑体" w:hAnsi="黑体" w:eastAsia="黑体"/>
          <w:color w:val="auto"/>
          <w:sz w:val="24"/>
          <w:szCs w:val="24"/>
          <w:highlight w:val="none"/>
        </w:rPr>
        <w:t>）主要参加单位和工作组成员及其所做的工作</w:t>
      </w:r>
    </w:p>
    <w:p>
      <w:pPr>
        <w:spacing w:before="156" w:beforeLines="50" w:after="156" w:afterLines="50" w:line="440" w:lineRule="exact"/>
        <w:ind w:firstLine="480" w:firstLineChars="200"/>
        <w:outlineLvl w:val="0"/>
        <w:rPr>
          <w:rFonts w:hint="eastAsia" w:hAnsi="宋体" w:eastAsia="宋体"/>
          <w:color w:val="auto"/>
          <w:sz w:val="24"/>
          <w:highlight w:val="none"/>
        </w:rPr>
      </w:pPr>
      <w:r>
        <w:rPr>
          <w:rFonts w:hint="eastAsia" w:hAnsi="宋体" w:eastAsia="宋体"/>
          <w:color w:val="auto"/>
          <w:sz w:val="24"/>
          <w:highlight w:val="none"/>
        </w:rPr>
        <w:t>本标准由</w:t>
      </w:r>
      <w:r>
        <w:rPr>
          <w:rFonts w:hint="eastAsia" w:hAnsi="宋体" w:eastAsia="宋体"/>
          <w:color w:val="auto"/>
          <w:sz w:val="24"/>
          <w:highlight w:val="none"/>
          <w:lang w:val="en-US" w:eastAsia="zh-CN"/>
        </w:rPr>
        <w:t>1</w:t>
      </w:r>
      <w:r>
        <w:rPr>
          <w:rFonts w:hint="eastAsia" w:hAnsi="宋体" w:eastAsia="宋体"/>
          <w:color w:val="auto"/>
          <w:sz w:val="24"/>
          <w:highlight w:val="none"/>
        </w:rPr>
        <w:t>广西玉柴机器配件制造有限公司、</w:t>
      </w:r>
      <w:r>
        <w:rPr>
          <w:rFonts w:hint="eastAsia" w:hAnsi="宋体" w:eastAsia="宋体"/>
          <w:color w:val="auto"/>
          <w:sz w:val="24"/>
          <w:highlight w:val="none"/>
          <w:lang w:val="en-US" w:eastAsia="zh-CN"/>
        </w:rPr>
        <w:t>2</w:t>
      </w:r>
      <w:r>
        <w:rPr>
          <w:rFonts w:hint="eastAsia" w:hAnsi="宋体" w:eastAsia="宋体"/>
          <w:color w:val="auto"/>
          <w:sz w:val="24"/>
          <w:highlight w:val="none"/>
        </w:rPr>
        <w:t>芜湖久弘重工股份有限公司、</w:t>
      </w:r>
    </w:p>
    <w:p>
      <w:pPr>
        <w:spacing w:before="156" w:beforeLines="50" w:after="156" w:afterLines="50" w:line="440" w:lineRule="exact"/>
        <w:ind w:firstLine="480" w:firstLineChars="200"/>
        <w:outlineLvl w:val="0"/>
        <w:rPr>
          <w:rFonts w:hint="eastAsia" w:hAnsi="宋体" w:eastAsia="宋体"/>
          <w:color w:val="auto"/>
          <w:sz w:val="24"/>
          <w:highlight w:val="none"/>
        </w:rPr>
      </w:pPr>
    </w:p>
    <w:p>
      <w:pPr>
        <w:spacing w:before="156" w:beforeLines="50" w:after="156" w:afterLines="50" w:line="440" w:lineRule="exact"/>
        <w:ind w:firstLine="480" w:firstLineChars="200"/>
        <w:outlineLvl w:val="0"/>
        <w:rPr>
          <w:rFonts w:hAnsi="宋体" w:eastAsia="宋体"/>
          <w:color w:val="auto"/>
          <w:sz w:val="24"/>
          <w:highlight w:val="none"/>
        </w:rPr>
      </w:pPr>
      <w:r>
        <w:rPr>
          <w:rFonts w:hint="eastAsia" w:hAnsi="宋体" w:eastAsia="宋体"/>
          <w:color w:val="auto"/>
          <w:sz w:val="24"/>
          <w:highlight w:val="none"/>
        </w:rPr>
        <w:t>芜湖新兴铸管有限责任公司、</w:t>
      </w:r>
      <w:r>
        <w:rPr>
          <w:rFonts w:hint="eastAsia" w:hAnsi="宋体" w:eastAsia="宋体"/>
          <w:color w:val="auto"/>
          <w:sz w:val="24"/>
          <w:highlight w:val="none"/>
          <w:lang w:val="en-US" w:eastAsia="zh-CN"/>
        </w:rPr>
        <w:t>4</w:t>
      </w:r>
      <w:r>
        <w:rPr>
          <w:rFonts w:hint="eastAsia" w:hAnsi="宋体" w:eastAsia="宋体"/>
          <w:color w:val="auto"/>
          <w:sz w:val="24"/>
          <w:highlight w:val="none"/>
        </w:rPr>
        <w:t>山西东鑫衡隆机械制造股份有限公司、</w:t>
      </w:r>
      <w:r>
        <w:rPr>
          <w:rFonts w:hint="eastAsia" w:hAnsi="宋体" w:eastAsia="宋体"/>
          <w:color w:val="auto"/>
          <w:sz w:val="24"/>
          <w:highlight w:val="none"/>
          <w:lang w:val="en-US" w:eastAsia="zh-CN"/>
        </w:rPr>
        <w:t>5</w:t>
      </w:r>
      <w:r>
        <w:rPr>
          <w:rFonts w:hint="eastAsia" w:hAnsi="宋体" w:eastAsia="宋体"/>
          <w:color w:val="auto"/>
          <w:sz w:val="24"/>
          <w:highlight w:val="none"/>
        </w:rPr>
        <w:t>湖北普尔精密科技有限公司、</w:t>
      </w:r>
      <w:r>
        <w:rPr>
          <w:rFonts w:hint="eastAsia" w:hAnsi="宋体" w:eastAsia="宋体"/>
          <w:color w:val="auto"/>
          <w:sz w:val="24"/>
          <w:highlight w:val="none"/>
          <w:lang w:val="en-US" w:eastAsia="zh-CN"/>
        </w:rPr>
        <w:t>6</w:t>
      </w:r>
      <w:r>
        <w:rPr>
          <w:rFonts w:hint="eastAsia" w:hAnsi="宋体" w:eastAsia="宋体"/>
          <w:color w:val="auto"/>
          <w:sz w:val="24"/>
          <w:highlight w:val="none"/>
        </w:rPr>
        <w:t>浙江省机电设计研究院有限公司</w:t>
      </w:r>
      <w:r>
        <w:rPr>
          <w:rFonts w:hint="eastAsia" w:hAnsi="宋体" w:eastAsia="宋体"/>
          <w:color w:val="auto"/>
          <w:sz w:val="24"/>
          <w:highlight w:val="none"/>
          <w:lang w:eastAsia="zh-CN"/>
        </w:rPr>
        <w:t>、</w:t>
      </w:r>
      <w:r>
        <w:rPr>
          <w:rFonts w:hint="eastAsia" w:hAnsi="宋体" w:eastAsia="宋体"/>
          <w:color w:val="auto"/>
          <w:sz w:val="24"/>
          <w:highlight w:val="none"/>
        </w:rPr>
        <w:t>广西</w:t>
      </w:r>
      <w:r>
        <w:rPr>
          <w:rFonts w:hAnsi="宋体" w:eastAsia="宋体"/>
          <w:color w:val="auto"/>
          <w:sz w:val="24"/>
          <w:highlight w:val="none"/>
        </w:rPr>
        <w:t>玉柴机器股份有限公司</w:t>
      </w:r>
      <w:r>
        <w:rPr>
          <w:rFonts w:hint="eastAsia" w:hAnsi="宋体" w:eastAsia="宋体"/>
          <w:color w:val="auto"/>
          <w:sz w:val="24"/>
          <w:highlight w:val="none"/>
        </w:rPr>
        <w:t>、江苏汤臣汽车零部件有限公司、郑州机械研究所有限公司、大连金河铸造有限公司、芜湖格力精密制造有限公司</w:t>
      </w:r>
      <w:r>
        <w:rPr>
          <w:rFonts w:hint="eastAsia" w:hAnsi="宋体" w:eastAsia="宋体"/>
          <w:color w:val="auto"/>
          <w:sz w:val="24"/>
          <w:highlight w:val="none"/>
          <w:lang w:eastAsia="zh-CN"/>
        </w:rPr>
        <w:t>、</w:t>
      </w:r>
      <w:r>
        <w:rPr>
          <w:rFonts w:hint="eastAsia" w:hAnsi="宋体" w:eastAsia="宋体"/>
          <w:color w:val="auto"/>
          <w:sz w:val="24"/>
          <w:highlight w:val="none"/>
        </w:rPr>
        <w:t>山东宇信铸业有限公司、溧阳市新力机械铸造有限公司、山东湖西王集团铸业有限公司、成都金顶精密铸造有限公司、勤威（天津）工业有限</w:t>
      </w:r>
      <w:r>
        <w:rPr>
          <w:rFonts w:hint="eastAsia" w:hAnsi="宋体" w:eastAsia="宋体"/>
          <w:color w:val="auto"/>
          <w:sz w:val="24"/>
          <w:highlight w:val="none"/>
        </w:rPr>
        <w:t>公司（1</w:t>
      </w:r>
      <w:r>
        <w:rPr>
          <w:rFonts w:hAnsi="宋体" w:eastAsia="宋体"/>
          <w:color w:val="auto"/>
          <w:sz w:val="24"/>
          <w:highlight w:val="none"/>
        </w:rPr>
        <w:t>7</w:t>
      </w:r>
      <w:r>
        <w:rPr>
          <w:rFonts w:hint="eastAsia" w:hAnsi="宋体" w:eastAsia="宋体"/>
          <w:color w:val="auto"/>
          <w:sz w:val="24"/>
          <w:highlight w:val="none"/>
        </w:rPr>
        <w:t>家）</w:t>
      </w:r>
      <w:r>
        <w:rPr>
          <w:rFonts w:hint="eastAsia" w:hAnsi="宋体" w:eastAsia="宋体"/>
          <w:color w:val="auto"/>
          <w:sz w:val="24"/>
          <w:highlight w:val="none"/>
        </w:rPr>
        <w:t>…共同起草。</w:t>
      </w:r>
    </w:p>
    <w:p>
      <w:pPr>
        <w:spacing w:before="156" w:beforeLines="50" w:after="156" w:afterLines="50" w:line="440" w:lineRule="exact"/>
        <w:ind w:firstLine="480" w:firstLineChars="200"/>
        <w:outlineLvl w:val="0"/>
        <w:rPr>
          <w:rFonts w:hint="eastAsia" w:hAnsi="宋体" w:eastAsia="宋体"/>
          <w:color w:val="auto"/>
          <w:sz w:val="24"/>
          <w:highlight w:val="none"/>
          <w:lang w:eastAsia="zh-CN"/>
        </w:rPr>
      </w:pPr>
      <w:r>
        <w:rPr>
          <w:rFonts w:hint="eastAsia" w:hAnsi="宋体" w:eastAsia="宋体"/>
          <w:color w:val="auto"/>
          <w:sz w:val="24"/>
          <w:highlight w:val="none"/>
        </w:rPr>
        <w:t>主要成员</w:t>
      </w:r>
      <w:r>
        <w:rPr>
          <w:rFonts w:hint="eastAsia" w:hAnsi="宋体" w:eastAsia="宋体"/>
          <w:color w:val="auto"/>
          <w:sz w:val="24"/>
          <w:highlight w:val="none"/>
          <w:lang w:eastAsia="zh-CN"/>
        </w:rPr>
        <w:t>：</w:t>
      </w:r>
      <w:r>
        <w:rPr>
          <w:rFonts w:hint="eastAsia" w:hAnsi="宋体" w:eastAsia="宋体"/>
          <w:color w:val="auto"/>
          <w:sz w:val="24"/>
          <w:highlight w:val="none"/>
        </w:rPr>
        <w:t>李伟柱、李胜柱、崔炜、</w:t>
      </w:r>
      <w:r>
        <w:rPr>
          <w:rFonts w:hint="eastAsia" w:hAnsi="宋体" w:eastAsia="宋体"/>
          <w:color w:val="auto"/>
          <w:sz w:val="24"/>
          <w:highlight w:val="none"/>
          <w:lang w:val="en-US" w:eastAsia="zh-CN"/>
        </w:rPr>
        <w:t>何文东、</w:t>
      </w:r>
      <w:r>
        <w:rPr>
          <w:rFonts w:hint="eastAsia" w:hAnsi="宋体" w:eastAsia="宋体"/>
          <w:color w:val="auto"/>
          <w:sz w:val="24"/>
          <w:highlight w:val="none"/>
        </w:rPr>
        <w:t>张强强</w:t>
      </w:r>
      <w:r>
        <w:rPr>
          <w:rFonts w:hint="eastAsia" w:hAnsi="宋体" w:eastAsia="宋体"/>
          <w:color w:val="auto"/>
          <w:sz w:val="24"/>
          <w:highlight w:val="none"/>
          <w:lang w:eastAsia="zh-CN"/>
        </w:rPr>
        <w:t>、</w:t>
      </w:r>
      <w:r>
        <w:rPr>
          <w:rFonts w:hint="eastAsia" w:hAnsi="宋体" w:eastAsia="宋体"/>
          <w:color w:val="auto"/>
          <w:sz w:val="24"/>
          <w:highlight w:val="none"/>
          <w:lang w:val="en-US" w:eastAsia="zh-CN"/>
        </w:rPr>
        <w:t>郭元飞、夏小江、</w:t>
      </w:r>
      <w:r>
        <w:rPr>
          <w:rFonts w:hint="eastAsia" w:hAnsi="宋体" w:eastAsia="宋体"/>
          <w:color w:val="auto"/>
          <w:sz w:val="24"/>
          <w:highlight w:val="none"/>
        </w:rPr>
        <w:t>李克锐、</w:t>
      </w:r>
      <w:r>
        <w:rPr>
          <w:rFonts w:hint="eastAsia" w:hAnsi="宋体" w:eastAsia="宋体"/>
          <w:color w:val="auto"/>
          <w:sz w:val="24"/>
          <w:highlight w:val="none"/>
          <w:lang w:val="en-US" w:eastAsia="zh-CN"/>
        </w:rPr>
        <w:t>朱劲松、林志华、张怀嵩、袁贤君、胡福星、丁士、胡连柱、</w:t>
      </w:r>
      <w:r>
        <w:rPr>
          <w:rFonts w:hint="eastAsia" w:hAnsi="宋体" w:eastAsia="宋体"/>
          <w:color w:val="auto"/>
          <w:sz w:val="24"/>
          <w:highlight w:val="none"/>
        </w:rPr>
        <w:t>王春风、</w:t>
      </w:r>
      <w:r>
        <w:rPr>
          <w:rFonts w:hint="eastAsia" w:hAnsi="宋体" w:eastAsia="宋体"/>
          <w:color w:val="auto"/>
          <w:sz w:val="24"/>
          <w:highlight w:val="none"/>
          <w:lang w:val="en-US" w:eastAsia="zh-CN"/>
        </w:rPr>
        <w:t>汪洋、</w:t>
      </w:r>
      <w:r>
        <w:rPr>
          <w:rFonts w:hint="eastAsia" w:hAnsi="宋体" w:eastAsia="宋体"/>
          <w:color w:val="auto"/>
          <w:sz w:val="24"/>
          <w:highlight w:val="none"/>
        </w:rPr>
        <w:t>吴宝成、郭孝江</w:t>
      </w:r>
      <w:r>
        <w:rPr>
          <w:rFonts w:hAnsi="宋体" w:eastAsia="宋体"/>
          <w:color w:val="auto"/>
          <w:sz w:val="24"/>
          <w:highlight w:val="none"/>
        </w:rPr>
        <w:t>、何春华、李统宇、马永明、</w:t>
      </w:r>
      <w:r>
        <w:rPr>
          <w:rFonts w:hint="eastAsia" w:hAnsi="宋体" w:eastAsia="宋体"/>
          <w:color w:val="auto"/>
          <w:sz w:val="24"/>
          <w:highlight w:val="none"/>
          <w:lang w:eastAsia="zh-Hans"/>
        </w:rPr>
        <w:t>崔宇</w:t>
      </w:r>
      <w:r>
        <w:rPr>
          <w:rFonts w:hAnsi="宋体" w:eastAsia="宋体"/>
          <w:color w:val="auto"/>
          <w:sz w:val="24"/>
          <w:highlight w:val="none"/>
          <w:lang w:eastAsia="zh-Hans"/>
        </w:rPr>
        <w:t>、</w:t>
      </w:r>
      <w:r>
        <w:rPr>
          <w:rFonts w:hint="eastAsia" w:hAnsi="宋体" w:eastAsia="宋体"/>
          <w:color w:val="auto"/>
          <w:sz w:val="24"/>
          <w:highlight w:val="none"/>
        </w:rPr>
        <w:t>吴现龙、赵竞翔、李增利、陈昭、李建国、李文生、令狐小鹏</w:t>
      </w:r>
      <w:r>
        <w:rPr>
          <w:rFonts w:hint="eastAsia" w:hAnsi="宋体" w:eastAsia="宋体"/>
          <w:color w:val="auto"/>
          <w:sz w:val="24"/>
          <w:highlight w:val="none"/>
          <w:lang w:eastAsia="zh-CN"/>
        </w:rPr>
        <w:t>。</w:t>
      </w:r>
    </w:p>
    <w:p>
      <w:pPr>
        <w:spacing w:before="156" w:beforeLines="50" w:after="156" w:afterLines="50" w:line="440" w:lineRule="exact"/>
        <w:ind w:firstLine="480" w:firstLineChars="200"/>
        <w:outlineLvl w:val="0"/>
        <w:rPr>
          <w:rFonts w:hAnsi="宋体" w:eastAsia="宋体"/>
          <w:color w:val="auto"/>
          <w:sz w:val="24"/>
          <w:highlight w:val="none"/>
        </w:rPr>
      </w:pPr>
      <w:r>
        <w:rPr>
          <w:rFonts w:hint="eastAsia" w:hAnsi="宋体" w:eastAsia="宋体"/>
          <w:color w:val="auto"/>
          <w:sz w:val="24"/>
          <w:highlight w:val="none"/>
        </w:rPr>
        <w:t>所做的工作: 李胜柱任工作组组长，主持全面协调工作，负责对各阶段标准的审核；李伟柱为本标准主要执笔人，负责本标准的具体起草与编制；崔炜负责对产品生产工艺、性能和使用经验进行总结和归纳；吴宝成</w:t>
      </w:r>
      <w:r>
        <w:rPr>
          <w:rFonts w:hint="eastAsia" w:hAnsi="宋体" w:eastAsia="宋体"/>
          <w:color w:val="auto"/>
          <w:sz w:val="24"/>
          <w:highlight w:val="none"/>
          <w:lang w:eastAsia="zh-CN"/>
        </w:rPr>
        <w:t>、</w:t>
      </w:r>
      <w:r>
        <w:rPr>
          <w:rFonts w:hint="eastAsia" w:hAnsi="宋体" w:eastAsia="宋体"/>
          <w:color w:val="auto"/>
          <w:sz w:val="24"/>
          <w:highlight w:val="none"/>
          <w:lang w:val="en-US" w:eastAsia="zh-CN"/>
        </w:rPr>
        <w:t>何文东、</w:t>
      </w:r>
      <w:r>
        <w:rPr>
          <w:rFonts w:hint="eastAsia" w:hAnsi="宋体" w:eastAsia="宋体"/>
          <w:color w:val="auto"/>
          <w:sz w:val="24"/>
          <w:highlight w:val="none"/>
        </w:rPr>
        <w:t>张强强</w:t>
      </w:r>
      <w:r>
        <w:rPr>
          <w:rFonts w:hint="eastAsia" w:hAnsi="宋体" w:eastAsia="宋体"/>
          <w:color w:val="auto"/>
          <w:sz w:val="24"/>
          <w:highlight w:val="none"/>
          <w:lang w:eastAsia="zh-CN"/>
        </w:rPr>
        <w:t>、</w:t>
      </w:r>
      <w:r>
        <w:rPr>
          <w:rFonts w:hint="eastAsia" w:hAnsi="宋体" w:eastAsia="宋体"/>
          <w:color w:val="auto"/>
          <w:sz w:val="24"/>
          <w:highlight w:val="none"/>
          <w:lang w:val="en-US" w:eastAsia="zh-CN"/>
        </w:rPr>
        <w:t>郭元飞、夏小江、</w:t>
      </w:r>
      <w:r>
        <w:rPr>
          <w:rFonts w:hint="eastAsia" w:hAnsi="宋体" w:eastAsia="宋体"/>
          <w:color w:val="auto"/>
          <w:sz w:val="24"/>
          <w:highlight w:val="none"/>
        </w:rPr>
        <w:t>李克锐、</w:t>
      </w:r>
      <w:r>
        <w:rPr>
          <w:rFonts w:hint="eastAsia" w:hAnsi="宋体" w:eastAsia="宋体"/>
          <w:color w:val="auto"/>
          <w:sz w:val="24"/>
          <w:highlight w:val="none"/>
          <w:lang w:val="en-US" w:eastAsia="zh-CN"/>
        </w:rPr>
        <w:t>朱劲松、林志华、张怀嵩、袁贤君、胡福星、丁士、胡连柱、</w:t>
      </w:r>
      <w:r>
        <w:rPr>
          <w:rFonts w:hint="eastAsia" w:hAnsi="宋体" w:eastAsia="宋体"/>
          <w:color w:val="auto"/>
          <w:sz w:val="24"/>
          <w:highlight w:val="none"/>
        </w:rPr>
        <w:t>负责国内外相关技术文献和资料的收集、分析及资料查证；郭孝江</w:t>
      </w:r>
      <w:r>
        <w:rPr>
          <w:rFonts w:hint="eastAsia" w:hAnsi="宋体" w:eastAsia="宋体"/>
          <w:color w:val="auto"/>
          <w:sz w:val="24"/>
          <w:highlight w:val="none"/>
          <w:lang w:val="en-US" w:eastAsia="zh-CN"/>
        </w:rPr>
        <w:t>等</w:t>
      </w:r>
      <w:r>
        <w:rPr>
          <w:rFonts w:hint="eastAsia" w:hAnsi="宋体" w:eastAsia="宋体"/>
          <w:color w:val="auto"/>
          <w:sz w:val="24"/>
          <w:highlight w:val="none"/>
        </w:rPr>
        <w:t>负责对国内外产品和技术的现状与发展情况进行全面调研；王春风</w:t>
      </w:r>
      <w:r>
        <w:rPr>
          <w:rFonts w:hint="eastAsia" w:hAnsi="宋体" w:eastAsia="宋体"/>
          <w:color w:val="auto"/>
          <w:sz w:val="24"/>
          <w:highlight w:val="none"/>
          <w:lang w:val="en-US" w:eastAsia="zh-CN"/>
        </w:rPr>
        <w:t>等</w:t>
      </w:r>
      <w:r>
        <w:rPr>
          <w:rFonts w:hint="eastAsia" w:hAnsi="宋体" w:eastAsia="宋体"/>
          <w:color w:val="auto"/>
          <w:sz w:val="24"/>
          <w:highlight w:val="none"/>
        </w:rPr>
        <w:t>负责对各方面的意见及建议进行归纳、整理；何春华</w:t>
      </w:r>
      <w:r>
        <w:rPr>
          <w:rFonts w:hint="eastAsia" w:hAnsi="宋体" w:eastAsia="宋体"/>
          <w:color w:val="auto"/>
          <w:sz w:val="24"/>
          <w:highlight w:val="none"/>
          <w:lang w:val="en-US" w:eastAsia="zh-CN"/>
        </w:rPr>
        <w:t>等</w:t>
      </w:r>
      <w:r>
        <w:rPr>
          <w:rFonts w:hint="eastAsia" w:hAnsi="宋体" w:eastAsia="宋体"/>
          <w:color w:val="auto"/>
          <w:sz w:val="24"/>
          <w:highlight w:val="none"/>
        </w:rPr>
        <w:t>负责对各引用标准资料收集、查证。</w:t>
      </w:r>
    </w:p>
    <w:p>
      <w:pPr>
        <w:spacing w:line="320" w:lineRule="exact"/>
        <w:ind w:firstLine="482" w:firstLineChars="200"/>
        <w:rPr>
          <w:rFonts w:ascii="黑体" w:hAnsi="宋体" w:eastAsia="黑体"/>
          <w:b/>
          <w:color w:val="auto"/>
          <w:sz w:val="24"/>
          <w:szCs w:val="24"/>
          <w:highlight w:val="none"/>
        </w:rPr>
      </w:pPr>
      <w:r>
        <w:rPr>
          <w:rFonts w:hint="eastAsia" w:ascii="黑体" w:hAnsi="宋体" w:eastAsia="黑体"/>
          <w:b/>
          <w:color w:val="auto"/>
          <w:sz w:val="24"/>
          <w:szCs w:val="24"/>
          <w:highlight w:val="none"/>
        </w:rPr>
        <w:t>2.制修订标准的原则</w:t>
      </w:r>
    </w:p>
    <w:p>
      <w:pPr>
        <w:spacing w:before="156" w:beforeLines="50" w:after="156" w:afterLines="50" w:line="440" w:lineRule="exact"/>
        <w:ind w:firstLine="480" w:firstLineChars="200"/>
        <w:outlineLvl w:val="0"/>
        <w:rPr>
          <w:rFonts w:ascii="黑体" w:hAnsi="黑体" w:eastAsia="黑体"/>
          <w:color w:val="auto"/>
          <w:sz w:val="24"/>
          <w:szCs w:val="24"/>
          <w:highlight w:val="none"/>
        </w:rPr>
      </w:pPr>
      <w:r>
        <w:rPr>
          <w:rFonts w:hint="eastAsia" w:ascii="黑体" w:hAnsi="黑体" w:eastAsia="黑体"/>
          <w:color w:val="auto"/>
          <w:sz w:val="24"/>
          <w:szCs w:val="24"/>
          <w:highlight w:val="none"/>
        </w:rPr>
        <w:t>1）制修订标准的依据或理由</w:t>
      </w:r>
    </w:p>
    <w:p>
      <w:pPr>
        <w:spacing w:before="156" w:beforeLines="50" w:after="156" w:afterLines="50" w:line="440" w:lineRule="exact"/>
        <w:ind w:firstLine="480" w:firstLineChars="200"/>
        <w:outlineLvl w:val="0"/>
        <w:rPr>
          <w:color w:val="auto"/>
          <w:sz w:val="21"/>
          <w:szCs w:val="21"/>
          <w:highlight w:val="none"/>
        </w:rPr>
      </w:pPr>
      <w:r>
        <w:rPr>
          <w:rFonts w:hint="eastAsia" w:hAnsi="宋体" w:eastAsia="宋体"/>
          <w:color w:val="auto"/>
          <w:sz w:val="24"/>
          <w:highlight w:val="none"/>
        </w:rPr>
        <w:t>本文</w:t>
      </w:r>
      <w:r>
        <w:rPr>
          <w:rFonts w:hint="eastAsia" w:hAnsi="宋体" w:eastAsia="宋体"/>
          <w:color w:val="auto"/>
          <w:sz w:val="24"/>
          <w:highlight w:val="none"/>
          <w:lang w:eastAsia="zh-Hans"/>
        </w:rPr>
        <w:t>件</w:t>
      </w:r>
      <w:r>
        <w:rPr>
          <w:rFonts w:hint="eastAsia" w:hAnsi="宋体" w:eastAsia="宋体"/>
          <w:color w:val="auto"/>
          <w:sz w:val="24"/>
          <w:highlight w:val="none"/>
        </w:rPr>
        <w:t>在起草过程中，主要按照GB/T 1.1—2020《标准化工作导则  第1部分：标准化文件的结构和起草规则》的规定起草。在确定本标准主要技术指标时，综合考虑生产企业的能力和用户的利益，寻求最大的经济、社会效益，充分体现了标准在技术上的先进性和合理性。</w:t>
      </w:r>
    </w:p>
    <w:p>
      <w:pPr>
        <w:spacing w:before="156" w:beforeLines="50" w:after="156" w:afterLines="50" w:line="440" w:lineRule="exact"/>
        <w:ind w:firstLine="480" w:firstLineChars="200"/>
        <w:outlineLvl w:val="0"/>
        <w:rPr>
          <w:rFonts w:ascii="黑体" w:hAnsi="黑体" w:eastAsia="黑体"/>
          <w:color w:val="auto"/>
          <w:sz w:val="24"/>
          <w:szCs w:val="24"/>
          <w:highlight w:val="none"/>
        </w:rPr>
      </w:pPr>
      <w:r>
        <w:rPr>
          <w:rFonts w:hint="eastAsia" w:ascii="黑体" w:hAnsi="黑体" w:eastAsia="黑体"/>
          <w:color w:val="auto"/>
          <w:sz w:val="24"/>
          <w:szCs w:val="24"/>
          <w:highlight w:val="none"/>
        </w:rPr>
        <w:t>2）制修订标准的原则及制修订标准的原则</w:t>
      </w:r>
    </w:p>
    <w:p>
      <w:pPr>
        <w:spacing w:before="156" w:beforeLines="50" w:after="156" w:afterLines="50" w:line="440" w:lineRule="exact"/>
        <w:ind w:firstLine="480" w:firstLineChars="200"/>
        <w:outlineLvl w:val="0"/>
        <w:rPr>
          <w:rFonts w:hAnsi="宋体" w:eastAsia="宋体"/>
          <w:color w:val="auto"/>
          <w:sz w:val="24"/>
          <w:highlight w:val="none"/>
        </w:rPr>
      </w:pPr>
      <w:r>
        <w:rPr>
          <w:rFonts w:hint="eastAsia" w:hAnsi="宋体" w:eastAsia="宋体"/>
          <w:color w:val="auto"/>
          <w:sz w:val="24"/>
          <w:highlight w:val="none"/>
        </w:rPr>
        <w:t>本标准文本在制定/修订过程中，遵循“面向市场、服务产业、自主制定、适时推出、及时修订、不断完善”的原则，注重标准修订与技术创新、试验验证、产业推进、应用推广相结合，本着先进性、科学性、合理性和可操作性以及标准的目标、统一性、协调性、适用性、一致性和规范性的原则来进行本标准的制定/修订工作。</w:t>
      </w:r>
    </w:p>
    <w:p>
      <w:pPr>
        <w:spacing w:before="156" w:beforeLines="50" w:after="156" w:afterLines="50" w:line="440" w:lineRule="exact"/>
        <w:ind w:firstLine="482" w:firstLineChars="200"/>
        <w:rPr>
          <w:rFonts w:ascii="黑体" w:hAnsi="宋体" w:eastAsia="黑体"/>
          <w:color w:val="auto"/>
          <w:sz w:val="24"/>
          <w:szCs w:val="24"/>
          <w:highlight w:val="none"/>
        </w:rPr>
      </w:pPr>
      <w:r>
        <w:rPr>
          <w:rFonts w:hint="eastAsia" w:ascii="黑体" w:hAnsi="宋体" w:eastAsia="黑体"/>
          <w:b/>
          <w:color w:val="auto"/>
          <w:sz w:val="24"/>
          <w:szCs w:val="24"/>
          <w:highlight w:val="none"/>
        </w:rPr>
        <w:t>3.标准化对象简要情况</w:t>
      </w:r>
    </w:p>
    <w:p>
      <w:pPr>
        <w:spacing w:before="156" w:beforeLines="50" w:after="156" w:afterLines="50" w:line="440" w:lineRule="exact"/>
        <w:ind w:firstLine="480" w:firstLineChars="200"/>
        <w:rPr>
          <w:rFonts w:ascii="宋体" w:hAnsi="宋体" w:eastAsia="黑体"/>
          <w:color w:val="auto"/>
          <w:sz w:val="24"/>
          <w:szCs w:val="24"/>
          <w:highlight w:val="none"/>
        </w:rPr>
      </w:pPr>
      <w:r>
        <w:rPr>
          <w:rFonts w:hint="eastAsia" w:ascii="宋体" w:hAnsi="宋体" w:eastAsia="黑体"/>
          <w:color w:val="auto"/>
          <w:sz w:val="24"/>
          <w:szCs w:val="24"/>
          <w:highlight w:val="none"/>
        </w:rPr>
        <w:t>（</w:t>
      </w:r>
      <w:r>
        <w:rPr>
          <w:rFonts w:hint="eastAsia" w:ascii="黑体" w:hAnsi="宋体" w:eastAsia="黑体"/>
          <w:color w:val="auto"/>
          <w:sz w:val="24"/>
          <w:szCs w:val="24"/>
          <w:highlight w:val="none"/>
        </w:rPr>
        <w:t>应分析目前行业现状、市场需求和存在问题：涉及产品的主要品种、产量、主要生产厂家、应用现状等，涉及试验方法的水平、行业内使用情况、目前试验设备及仪器等）</w:t>
      </w:r>
    </w:p>
    <w:p>
      <w:pPr>
        <w:spacing w:before="156" w:beforeLines="50" w:after="156" w:afterLines="50" w:line="440" w:lineRule="exact"/>
        <w:ind w:firstLine="480" w:firstLineChars="200"/>
        <w:outlineLvl w:val="0"/>
        <w:rPr>
          <w:rFonts w:hAnsi="宋体" w:eastAsia="宋体"/>
          <w:color w:val="auto"/>
          <w:sz w:val="24"/>
          <w:highlight w:val="none"/>
        </w:rPr>
      </w:pPr>
      <w:r>
        <w:rPr>
          <w:rFonts w:hint="eastAsia" w:hAnsi="宋体" w:eastAsia="宋体"/>
          <w:color w:val="auto"/>
          <w:sz w:val="24"/>
          <w:highlight w:val="none"/>
        </w:rPr>
        <w:t>国内普通球墨铸铁材料，高强度牌号抗拉强度7</w:t>
      </w:r>
      <w:r>
        <w:rPr>
          <w:rFonts w:hAnsi="宋体" w:eastAsia="宋体"/>
          <w:color w:val="auto"/>
          <w:sz w:val="24"/>
          <w:highlight w:val="none"/>
        </w:rPr>
        <w:t>00MPa以上</w:t>
      </w:r>
      <w:r>
        <w:rPr>
          <w:rFonts w:hint="eastAsia" w:hAnsi="宋体" w:eastAsia="宋体"/>
          <w:color w:val="auto"/>
          <w:sz w:val="24"/>
          <w:highlight w:val="none"/>
        </w:rPr>
        <w:t>，</w:t>
      </w:r>
      <w:r>
        <w:rPr>
          <w:rFonts w:hAnsi="宋体" w:eastAsia="宋体"/>
          <w:color w:val="auto"/>
          <w:sz w:val="24"/>
          <w:highlight w:val="none"/>
        </w:rPr>
        <w:t>伸</w:t>
      </w:r>
      <w:r>
        <w:rPr>
          <w:rFonts w:hint="eastAsia" w:hAnsi="宋体" w:eastAsia="宋体"/>
          <w:color w:val="auto"/>
          <w:sz w:val="24"/>
          <w:highlight w:val="none"/>
          <w:lang w:eastAsia="zh-Hans"/>
        </w:rPr>
        <w:t>长</w:t>
      </w:r>
      <w:r>
        <w:rPr>
          <w:rFonts w:hAnsi="宋体" w:eastAsia="宋体"/>
          <w:color w:val="auto"/>
          <w:sz w:val="24"/>
          <w:highlight w:val="none"/>
        </w:rPr>
        <w:t>率只有</w:t>
      </w:r>
      <w:r>
        <w:rPr>
          <w:rFonts w:hint="eastAsia" w:hAnsi="宋体" w:eastAsia="宋体"/>
          <w:color w:val="auto"/>
          <w:sz w:val="24"/>
          <w:highlight w:val="none"/>
        </w:rPr>
        <w:t>2%，如Q</w:t>
      </w:r>
      <w:r>
        <w:rPr>
          <w:rFonts w:hAnsi="宋体" w:eastAsia="宋体"/>
          <w:color w:val="auto"/>
          <w:sz w:val="24"/>
          <w:highlight w:val="none"/>
        </w:rPr>
        <w:t>T900-2/QT800-2/QT700-2</w:t>
      </w:r>
      <w:r>
        <w:rPr>
          <w:rFonts w:hint="eastAsia" w:hAnsi="宋体" w:eastAsia="宋体"/>
          <w:color w:val="auto"/>
          <w:sz w:val="24"/>
          <w:highlight w:val="none"/>
        </w:rPr>
        <w:t>；高塑性牌号延伸率5%以上，抗拉强度只有3</w:t>
      </w:r>
      <w:r>
        <w:rPr>
          <w:rFonts w:hAnsi="宋体" w:eastAsia="宋体"/>
          <w:color w:val="auto"/>
          <w:sz w:val="24"/>
          <w:highlight w:val="none"/>
        </w:rPr>
        <w:t>50-550MPa</w:t>
      </w:r>
      <w:r>
        <w:rPr>
          <w:rFonts w:hint="eastAsia" w:hAnsi="宋体" w:eastAsia="宋体"/>
          <w:color w:val="auto"/>
          <w:sz w:val="24"/>
          <w:highlight w:val="none"/>
        </w:rPr>
        <w:t>，如Q</w:t>
      </w:r>
      <w:r>
        <w:rPr>
          <w:rFonts w:hAnsi="宋体" w:eastAsia="宋体"/>
          <w:color w:val="auto"/>
          <w:sz w:val="24"/>
          <w:highlight w:val="none"/>
        </w:rPr>
        <w:t>T550-5/QT450-10/QT350-22</w:t>
      </w:r>
      <w:r>
        <w:rPr>
          <w:rFonts w:hint="eastAsia" w:hAnsi="宋体" w:eastAsia="宋体"/>
          <w:color w:val="auto"/>
          <w:sz w:val="24"/>
          <w:highlight w:val="none"/>
        </w:rPr>
        <w:t>。</w:t>
      </w:r>
    </w:p>
    <w:p>
      <w:pPr>
        <w:spacing w:before="156" w:beforeLines="50" w:after="156" w:afterLines="50" w:line="440" w:lineRule="exact"/>
        <w:ind w:firstLine="480" w:firstLineChars="200"/>
        <w:outlineLvl w:val="0"/>
        <w:rPr>
          <w:rFonts w:hAnsi="宋体" w:eastAsia="宋体"/>
          <w:color w:val="auto"/>
          <w:sz w:val="24"/>
          <w:highlight w:val="none"/>
        </w:rPr>
      </w:pPr>
      <w:r>
        <w:rPr>
          <w:rFonts w:hint="eastAsia" w:hAnsi="宋体" w:eastAsia="宋体"/>
          <w:color w:val="auto"/>
          <w:sz w:val="24"/>
          <w:highlight w:val="none"/>
        </w:rPr>
        <w:t>高强度高塑性球墨铸铁具备强度高和塑性好的优点，在内燃机，底盘等汽车零部件，风机支撑座等部件，以及工业机器人减速机部件等领域得到广泛应用，客户订货量在持续增长，但是客户采用的标准是企业标准，国内还没有高强度高塑性球墨铸铁的标准。</w:t>
      </w:r>
    </w:p>
    <w:p>
      <w:pPr>
        <w:spacing w:before="156" w:beforeLines="50" w:after="156" w:afterLines="50" w:line="440" w:lineRule="exact"/>
        <w:ind w:firstLine="482" w:firstLineChars="200"/>
        <w:rPr>
          <w:rFonts w:ascii="黑体" w:hAnsi="黑体" w:eastAsia="黑体"/>
          <w:b/>
          <w:color w:val="auto"/>
          <w:sz w:val="24"/>
          <w:szCs w:val="24"/>
          <w:highlight w:val="none"/>
        </w:rPr>
      </w:pPr>
      <w:r>
        <w:rPr>
          <w:rFonts w:hint="eastAsia" w:ascii="黑体" w:hAnsi="宋体" w:eastAsia="黑体"/>
          <w:b/>
          <w:color w:val="auto"/>
          <w:sz w:val="24"/>
          <w:szCs w:val="24"/>
          <w:highlight w:val="none"/>
        </w:rPr>
        <w:t>4.</w:t>
      </w:r>
      <w:r>
        <w:rPr>
          <w:rFonts w:hint="eastAsia" w:ascii="黑体" w:hAnsi="黑体" w:eastAsia="黑体"/>
          <w:b/>
          <w:color w:val="auto"/>
          <w:sz w:val="24"/>
          <w:szCs w:val="24"/>
          <w:highlight w:val="none"/>
        </w:rPr>
        <w:t>与国际、国外标准对比情况</w:t>
      </w:r>
    </w:p>
    <w:p>
      <w:pPr>
        <w:spacing w:before="156" w:beforeLines="50" w:after="156" w:afterLines="50" w:line="440" w:lineRule="exact"/>
        <w:ind w:firstLine="480" w:firstLineChars="200"/>
        <w:rPr>
          <w:rFonts w:ascii="黑体" w:hAnsi="宋体" w:eastAsia="黑体"/>
          <w:color w:val="auto"/>
          <w:sz w:val="24"/>
          <w:szCs w:val="24"/>
          <w:highlight w:val="none"/>
        </w:rPr>
      </w:pPr>
      <w:r>
        <w:rPr>
          <w:rFonts w:hint="eastAsia" w:ascii="黑体" w:hAnsi="宋体" w:eastAsia="黑体"/>
          <w:color w:val="auto"/>
          <w:sz w:val="24"/>
          <w:szCs w:val="24"/>
          <w:highlight w:val="none"/>
        </w:rPr>
        <w:t>1）采用国际标准和国外先进标准的项目，应当详细地说明采用该标准的目的、意义，标准程度及理由。</w:t>
      </w:r>
    </w:p>
    <w:p>
      <w:pPr>
        <w:spacing w:before="156" w:beforeLines="50" w:after="156" w:afterLines="50" w:line="440" w:lineRule="exact"/>
        <w:ind w:firstLine="480" w:firstLineChars="200"/>
        <w:rPr>
          <w:rFonts w:ascii="黑体" w:hAnsi="宋体" w:eastAsia="黑体"/>
          <w:color w:val="auto"/>
          <w:sz w:val="24"/>
          <w:szCs w:val="24"/>
          <w:highlight w:val="none"/>
        </w:rPr>
      </w:pPr>
      <w:r>
        <w:rPr>
          <w:rFonts w:hint="eastAsia" w:ascii="黑体" w:hAnsi="宋体" w:eastAsia="黑体"/>
          <w:color w:val="auto"/>
          <w:sz w:val="24"/>
          <w:szCs w:val="24"/>
          <w:highlight w:val="none"/>
        </w:rPr>
        <w:t>2）与国际、国外同类标准的主要差异，或与测试的国外样品的有关数据对比情况等。</w:t>
      </w:r>
    </w:p>
    <w:p>
      <w:pPr>
        <w:spacing w:line="320" w:lineRule="exact"/>
        <w:rPr>
          <w:rFonts w:ascii="黑体" w:hAnsi="宋体" w:eastAsia="黑体"/>
          <w:color w:val="auto"/>
          <w:sz w:val="24"/>
          <w:szCs w:val="24"/>
          <w:highlight w:val="none"/>
        </w:rPr>
      </w:pPr>
      <w:r>
        <w:rPr>
          <w:rFonts w:hint="eastAsia" w:ascii="黑体" w:hAnsi="宋体" w:eastAsia="黑体"/>
          <w:color w:val="auto"/>
          <w:sz w:val="24"/>
          <w:szCs w:val="24"/>
          <w:highlight w:val="none"/>
        </w:rPr>
        <w:t>（应描述清楚对比情况，同时给出本标准的水平：国际先进、国际领先、国内先进、国内领先，</w:t>
      </w:r>
      <w:r>
        <w:rPr>
          <w:rFonts w:hint="eastAsia" w:ascii="黑体" w:hAnsi="黑体" w:eastAsia="黑体"/>
          <w:i/>
          <w:color w:val="auto"/>
          <w:sz w:val="24"/>
          <w:szCs w:val="24"/>
          <w:highlight w:val="none"/>
        </w:rPr>
        <w:t>同时应将查新报告扫描件作为附件附后</w:t>
      </w:r>
      <w:r>
        <w:rPr>
          <w:rFonts w:hint="eastAsia" w:ascii="黑体" w:hAnsi="宋体" w:eastAsia="黑体"/>
          <w:color w:val="auto"/>
          <w:sz w:val="24"/>
          <w:szCs w:val="24"/>
          <w:highlight w:val="none"/>
        </w:rPr>
        <w:t>）</w:t>
      </w:r>
    </w:p>
    <w:p>
      <w:pPr>
        <w:spacing w:before="156" w:beforeLines="50" w:after="156" w:afterLines="50" w:line="440" w:lineRule="exact"/>
        <w:ind w:firstLine="480" w:firstLineChars="200"/>
        <w:outlineLvl w:val="0"/>
        <w:rPr>
          <w:rFonts w:hAnsi="宋体" w:eastAsia="宋体"/>
          <w:color w:val="auto"/>
          <w:sz w:val="24"/>
          <w:highlight w:val="none"/>
        </w:rPr>
      </w:pPr>
      <w:r>
        <w:rPr>
          <w:rFonts w:hint="eastAsia" w:hAnsi="宋体" w:eastAsia="宋体"/>
          <w:color w:val="auto"/>
          <w:sz w:val="24"/>
          <w:highlight w:val="none"/>
        </w:rPr>
        <w:t>国外GF的Sibo Dur 有4个高塑性球墨铸铁牌号，Sibo Dur450-17、SiboDur550-12、SiboDur700-10和SiboDur800-5，机械性能见下表。SiboDur700-10和Sibo Dur800-5牌号的屈服强度性能指标均高于本标准对应牌号QT700-10和QT800-5的屈服强度性能指标。但是没有QT900-5和QT1000-5牌号。</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7"/>
        <w:gridCol w:w="1294"/>
        <w:gridCol w:w="1385"/>
        <w:gridCol w:w="1144"/>
        <w:gridCol w:w="1016"/>
        <w:gridCol w:w="1006"/>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1577" w:type="dxa"/>
            <w:vAlign w:val="center"/>
          </w:tcPr>
          <w:p>
            <w:pPr>
              <w:pStyle w:val="14"/>
              <w:widowControl w:val="0"/>
              <w:numPr>
                <w:ilvl w:val="0"/>
                <w:numId w:val="0"/>
              </w:numPr>
              <w:spacing w:before="0" w:after="0" w:line="340" w:lineRule="exact"/>
              <w:jc w:val="center"/>
              <w:rPr>
                <w:rFonts w:ascii="Times New Roman"/>
                <w:color w:val="auto"/>
                <w:sz w:val="18"/>
                <w:szCs w:val="18"/>
                <w:highlight w:val="none"/>
              </w:rPr>
            </w:pPr>
            <w:r>
              <w:rPr>
                <w:rFonts w:hint="eastAsia" w:ascii="Times New Roman"/>
                <w:color w:val="auto"/>
                <w:sz w:val="18"/>
                <w:szCs w:val="18"/>
                <w:highlight w:val="none"/>
              </w:rPr>
              <w:t>SiboDur牌号</w:t>
            </w:r>
          </w:p>
        </w:tc>
        <w:tc>
          <w:tcPr>
            <w:tcW w:w="1294" w:type="dxa"/>
            <w:tcBorders>
              <w:bottom w:val="single" w:color="auto" w:sz="4" w:space="0"/>
            </w:tcBorders>
            <w:vAlign w:val="center"/>
          </w:tcPr>
          <w:p>
            <w:pPr>
              <w:pStyle w:val="14"/>
              <w:widowControl w:val="0"/>
              <w:numPr>
                <w:ilvl w:val="0"/>
                <w:numId w:val="0"/>
              </w:numPr>
              <w:spacing w:before="0" w:after="0" w:line="340" w:lineRule="exact"/>
              <w:jc w:val="center"/>
              <w:rPr>
                <w:rFonts w:ascii="Times New Roman"/>
                <w:color w:val="auto"/>
                <w:sz w:val="18"/>
                <w:szCs w:val="18"/>
                <w:highlight w:val="none"/>
              </w:rPr>
            </w:pPr>
            <w:r>
              <w:rPr>
                <w:rFonts w:hint="eastAsia" w:ascii="Times New Roman"/>
                <w:color w:val="auto"/>
                <w:sz w:val="18"/>
                <w:szCs w:val="18"/>
                <w:highlight w:val="none"/>
              </w:rPr>
              <w:t>抗拉强度R</w:t>
            </w:r>
            <w:r>
              <w:rPr>
                <w:rFonts w:hint="eastAsia" w:ascii="Times New Roman"/>
                <w:color w:val="auto"/>
                <w:sz w:val="18"/>
                <w:szCs w:val="18"/>
                <w:highlight w:val="none"/>
                <w:vertAlign w:val="subscript"/>
              </w:rPr>
              <w:t>m</w:t>
            </w:r>
            <w:r>
              <w:rPr>
                <w:rFonts w:hint="eastAsia" w:ascii="Times New Roman"/>
                <w:color w:val="auto"/>
                <w:sz w:val="18"/>
                <w:szCs w:val="18"/>
                <w:highlight w:val="none"/>
              </w:rPr>
              <w:t>（m</w:t>
            </w:r>
            <w:r>
              <w:rPr>
                <w:rFonts w:ascii="Times New Roman"/>
                <w:color w:val="auto"/>
                <w:sz w:val="18"/>
                <w:szCs w:val="18"/>
                <w:highlight w:val="none"/>
              </w:rPr>
              <w:t>in</w:t>
            </w:r>
            <w:r>
              <w:rPr>
                <w:rFonts w:hint="eastAsia" w:ascii="Times New Roman"/>
                <w:color w:val="auto"/>
                <w:sz w:val="18"/>
                <w:szCs w:val="18"/>
                <w:highlight w:val="none"/>
              </w:rPr>
              <w:t>.）</w:t>
            </w:r>
            <w:r>
              <w:rPr>
                <w:rFonts w:ascii="Times New Roman"/>
                <w:color w:val="auto"/>
                <w:sz w:val="18"/>
                <w:szCs w:val="18"/>
                <w:highlight w:val="none"/>
              </w:rPr>
              <w:t>MPa</w:t>
            </w:r>
          </w:p>
        </w:tc>
        <w:tc>
          <w:tcPr>
            <w:tcW w:w="1385" w:type="dxa"/>
            <w:tcBorders>
              <w:bottom w:val="single" w:color="auto" w:sz="4" w:space="0"/>
            </w:tcBorders>
            <w:vAlign w:val="center"/>
          </w:tcPr>
          <w:p>
            <w:pPr>
              <w:pStyle w:val="14"/>
              <w:widowControl w:val="0"/>
              <w:numPr>
                <w:ilvl w:val="0"/>
                <w:numId w:val="0"/>
              </w:numPr>
              <w:spacing w:before="0" w:after="0" w:line="340" w:lineRule="exact"/>
              <w:jc w:val="center"/>
              <w:rPr>
                <w:rFonts w:ascii="Times New Roman"/>
                <w:color w:val="auto"/>
                <w:sz w:val="18"/>
                <w:szCs w:val="18"/>
                <w:highlight w:val="none"/>
              </w:rPr>
            </w:pPr>
            <w:r>
              <w:rPr>
                <w:rFonts w:hint="eastAsia" w:ascii="Times New Roman"/>
                <w:color w:val="auto"/>
                <w:sz w:val="18"/>
                <w:szCs w:val="18"/>
                <w:highlight w:val="none"/>
              </w:rPr>
              <w:t>屈服强度R</w:t>
            </w:r>
            <w:r>
              <w:rPr>
                <w:rFonts w:hint="eastAsia" w:ascii="Times New Roman"/>
                <w:color w:val="auto"/>
                <w:sz w:val="18"/>
                <w:szCs w:val="18"/>
                <w:highlight w:val="none"/>
                <w:vertAlign w:val="subscript"/>
              </w:rPr>
              <w:t>p0.2</w:t>
            </w:r>
            <w:r>
              <w:rPr>
                <w:rFonts w:hint="eastAsia" w:ascii="Times New Roman"/>
                <w:color w:val="auto"/>
                <w:sz w:val="18"/>
                <w:szCs w:val="18"/>
                <w:highlight w:val="none"/>
              </w:rPr>
              <w:t>（m</w:t>
            </w:r>
            <w:r>
              <w:rPr>
                <w:rFonts w:ascii="Times New Roman"/>
                <w:color w:val="auto"/>
                <w:sz w:val="18"/>
                <w:szCs w:val="18"/>
                <w:highlight w:val="none"/>
              </w:rPr>
              <w:t>in</w:t>
            </w:r>
            <w:r>
              <w:rPr>
                <w:rFonts w:hint="eastAsia" w:ascii="Times New Roman"/>
                <w:color w:val="auto"/>
                <w:sz w:val="18"/>
                <w:szCs w:val="18"/>
                <w:highlight w:val="none"/>
              </w:rPr>
              <w:t>.）MPa</w:t>
            </w:r>
          </w:p>
        </w:tc>
        <w:tc>
          <w:tcPr>
            <w:tcW w:w="1144" w:type="dxa"/>
            <w:tcBorders>
              <w:bottom w:val="single" w:color="auto" w:sz="4" w:space="0"/>
            </w:tcBorders>
            <w:vAlign w:val="center"/>
          </w:tcPr>
          <w:p>
            <w:pPr>
              <w:pStyle w:val="14"/>
              <w:widowControl w:val="0"/>
              <w:numPr>
                <w:ilvl w:val="0"/>
                <w:numId w:val="0"/>
              </w:numPr>
              <w:spacing w:before="0" w:after="0" w:line="340" w:lineRule="exact"/>
              <w:jc w:val="center"/>
              <w:rPr>
                <w:rFonts w:ascii="Times New Roman"/>
                <w:color w:val="auto"/>
                <w:sz w:val="18"/>
                <w:szCs w:val="18"/>
                <w:highlight w:val="none"/>
              </w:rPr>
            </w:pPr>
            <w:r>
              <w:rPr>
                <w:rFonts w:hint="eastAsia" w:ascii="Times New Roman"/>
                <w:color w:val="auto"/>
                <w:sz w:val="18"/>
                <w:szCs w:val="18"/>
                <w:highlight w:val="none"/>
              </w:rPr>
              <w:t>伸长率A（m</w:t>
            </w:r>
            <w:r>
              <w:rPr>
                <w:rFonts w:ascii="Times New Roman"/>
                <w:color w:val="auto"/>
                <w:sz w:val="18"/>
                <w:szCs w:val="18"/>
                <w:highlight w:val="none"/>
              </w:rPr>
              <w:t>in</w:t>
            </w:r>
            <w:r>
              <w:rPr>
                <w:rFonts w:hint="eastAsia" w:ascii="Times New Roman"/>
                <w:color w:val="auto"/>
                <w:sz w:val="18"/>
                <w:szCs w:val="18"/>
                <w:highlight w:val="none"/>
              </w:rPr>
              <w:t>.）%</w:t>
            </w:r>
          </w:p>
        </w:tc>
        <w:tc>
          <w:tcPr>
            <w:tcW w:w="1016" w:type="dxa"/>
            <w:tcBorders>
              <w:bottom w:val="single" w:color="auto" w:sz="4" w:space="0"/>
            </w:tcBorders>
          </w:tcPr>
          <w:p>
            <w:pPr>
              <w:pStyle w:val="14"/>
              <w:widowControl w:val="0"/>
              <w:numPr>
                <w:ilvl w:val="0"/>
                <w:numId w:val="0"/>
              </w:numPr>
              <w:spacing w:before="0" w:after="0" w:line="340" w:lineRule="exact"/>
              <w:jc w:val="center"/>
              <w:rPr>
                <w:rFonts w:ascii="Times New Roman"/>
                <w:color w:val="auto"/>
                <w:sz w:val="18"/>
                <w:szCs w:val="18"/>
                <w:highlight w:val="none"/>
              </w:rPr>
            </w:pPr>
            <w:r>
              <w:rPr>
                <w:rFonts w:hint="eastAsia" w:ascii="Times New Roman"/>
                <w:color w:val="auto"/>
                <w:sz w:val="18"/>
                <w:szCs w:val="18"/>
                <w:highlight w:val="none"/>
              </w:rPr>
              <w:t>杨氏模量</w:t>
            </w:r>
          </w:p>
          <w:p>
            <w:pPr>
              <w:pStyle w:val="14"/>
              <w:widowControl w:val="0"/>
              <w:numPr>
                <w:ilvl w:val="0"/>
                <w:numId w:val="0"/>
              </w:numPr>
              <w:spacing w:before="0" w:after="0" w:line="340" w:lineRule="exact"/>
              <w:jc w:val="center"/>
              <w:rPr>
                <w:rFonts w:ascii="Times New Roman"/>
                <w:color w:val="auto"/>
                <w:sz w:val="18"/>
                <w:szCs w:val="18"/>
                <w:highlight w:val="none"/>
              </w:rPr>
            </w:pPr>
            <w:r>
              <w:rPr>
                <w:rFonts w:hint="eastAsia" w:ascii="Times New Roman"/>
                <w:color w:val="auto"/>
                <w:sz w:val="18"/>
                <w:szCs w:val="18"/>
                <w:highlight w:val="none"/>
              </w:rPr>
              <w:t>GPa</w:t>
            </w:r>
          </w:p>
        </w:tc>
        <w:tc>
          <w:tcPr>
            <w:tcW w:w="1006" w:type="dxa"/>
            <w:tcBorders>
              <w:bottom w:val="single" w:color="auto" w:sz="4" w:space="0"/>
            </w:tcBorders>
          </w:tcPr>
          <w:p>
            <w:pPr>
              <w:pStyle w:val="14"/>
              <w:widowControl w:val="0"/>
              <w:numPr>
                <w:ilvl w:val="0"/>
                <w:numId w:val="0"/>
              </w:numPr>
              <w:spacing w:before="0" w:after="0" w:line="340" w:lineRule="exact"/>
              <w:jc w:val="center"/>
              <w:rPr>
                <w:rFonts w:ascii="Times New Roman"/>
                <w:color w:val="auto"/>
                <w:sz w:val="18"/>
                <w:szCs w:val="18"/>
                <w:highlight w:val="none"/>
              </w:rPr>
            </w:pPr>
            <w:r>
              <w:rPr>
                <w:rFonts w:ascii="Times New Roman"/>
                <w:color w:val="auto"/>
                <w:sz w:val="18"/>
                <w:szCs w:val="18"/>
                <w:highlight w:val="none"/>
              </w:rPr>
              <w:t>布氏硬度</w:t>
            </w:r>
          </w:p>
          <w:p>
            <w:pPr>
              <w:pStyle w:val="14"/>
              <w:widowControl w:val="0"/>
              <w:numPr>
                <w:ilvl w:val="0"/>
                <w:numId w:val="0"/>
              </w:numPr>
              <w:spacing w:before="0" w:after="0" w:line="340" w:lineRule="exact"/>
              <w:jc w:val="center"/>
              <w:rPr>
                <w:rFonts w:ascii="Times New Roman"/>
                <w:color w:val="auto"/>
                <w:sz w:val="18"/>
                <w:szCs w:val="18"/>
                <w:highlight w:val="none"/>
              </w:rPr>
            </w:pPr>
            <w:r>
              <w:rPr>
                <w:rFonts w:ascii="Times New Roman"/>
                <w:color w:val="auto"/>
                <w:sz w:val="18"/>
                <w:szCs w:val="18"/>
                <w:highlight w:val="none"/>
              </w:rPr>
              <w:t>HB</w:t>
            </w:r>
          </w:p>
        </w:tc>
        <w:tc>
          <w:tcPr>
            <w:tcW w:w="1080" w:type="dxa"/>
            <w:tcBorders>
              <w:bottom w:val="single" w:color="auto" w:sz="4" w:space="0"/>
            </w:tcBorders>
          </w:tcPr>
          <w:p>
            <w:pPr>
              <w:pStyle w:val="14"/>
              <w:widowControl w:val="0"/>
              <w:numPr>
                <w:ilvl w:val="0"/>
                <w:numId w:val="0"/>
              </w:numPr>
              <w:spacing w:before="0" w:after="0" w:line="340" w:lineRule="exact"/>
              <w:jc w:val="center"/>
              <w:rPr>
                <w:rFonts w:ascii="Times New Roman"/>
                <w:color w:val="auto"/>
                <w:sz w:val="18"/>
                <w:szCs w:val="18"/>
                <w:highlight w:val="none"/>
              </w:rPr>
            </w:pPr>
            <w:r>
              <w:rPr>
                <w:rFonts w:hint="eastAsia" w:ascii="Times New Roman"/>
                <w:color w:val="auto"/>
                <w:sz w:val="18"/>
                <w:szCs w:val="18"/>
                <w:highlight w:val="none"/>
              </w:rPr>
              <w:t>珠光体</w:t>
            </w:r>
          </w:p>
          <w:p>
            <w:pPr>
              <w:pStyle w:val="14"/>
              <w:widowControl w:val="0"/>
              <w:numPr>
                <w:ilvl w:val="0"/>
                <w:numId w:val="0"/>
              </w:numPr>
              <w:spacing w:before="0" w:after="0" w:line="340" w:lineRule="exact"/>
              <w:jc w:val="center"/>
              <w:rPr>
                <w:rFonts w:ascii="Times New Roman"/>
                <w:color w:val="auto"/>
                <w:sz w:val="18"/>
                <w:szCs w:val="18"/>
                <w:highlight w:val="none"/>
              </w:rPr>
            </w:pPr>
            <w:r>
              <w:rPr>
                <w:rFonts w:hint="eastAsia" w:ascii="Times New Roman"/>
                <w:color w:val="auto"/>
                <w:sz w:val="18"/>
                <w:szCs w:val="18"/>
                <w:highlight w:val="none"/>
              </w:rPr>
              <w:t>含量%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1577" w:type="dxa"/>
            <w:tcBorders>
              <w:right w:val="single" w:color="auto" w:sz="4" w:space="0"/>
            </w:tcBorders>
          </w:tcPr>
          <w:p>
            <w:pPr>
              <w:pStyle w:val="14"/>
              <w:widowControl w:val="0"/>
              <w:numPr>
                <w:ilvl w:val="0"/>
                <w:numId w:val="0"/>
              </w:numPr>
              <w:spacing w:before="0" w:after="0" w:line="340" w:lineRule="exact"/>
              <w:jc w:val="center"/>
              <w:rPr>
                <w:rFonts w:ascii="Times New Roman"/>
                <w:color w:val="auto"/>
                <w:sz w:val="18"/>
                <w:szCs w:val="18"/>
                <w:highlight w:val="none"/>
              </w:rPr>
            </w:pPr>
            <w:r>
              <w:rPr>
                <w:rFonts w:hint="eastAsia" w:ascii="Times New Roman"/>
                <w:color w:val="auto"/>
                <w:sz w:val="18"/>
                <w:szCs w:val="18"/>
                <w:highlight w:val="none"/>
              </w:rPr>
              <w:t>SiboDur450-17</w:t>
            </w:r>
          </w:p>
        </w:tc>
        <w:tc>
          <w:tcPr>
            <w:tcW w:w="1294" w:type="dxa"/>
            <w:tcBorders>
              <w:top w:val="single" w:color="auto" w:sz="4" w:space="0"/>
              <w:left w:val="single" w:color="auto" w:sz="4" w:space="0"/>
              <w:bottom w:val="single" w:color="auto" w:sz="4" w:space="0"/>
              <w:right w:val="single" w:color="auto" w:sz="4" w:space="0"/>
            </w:tcBorders>
          </w:tcPr>
          <w:p>
            <w:pPr>
              <w:spacing w:before="50" w:after="156"/>
              <w:jc w:val="center"/>
              <w:rPr>
                <w:color w:val="auto"/>
                <w:sz w:val="18"/>
                <w:szCs w:val="18"/>
                <w:highlight w:val="none"/>
              </w:rPr>
            </w:pPr>
            <w:r>
              <w:rPr>
                <w:rFonts w:hint="eastAsia"/>
                <w:color w:val="auto"/>
                <w:sz w:val="18"/>
                <w:szCs w:val="18"/>
                <w:highlight w:val="none"/>
              </w:rPr>
              <w:t>450</w:t>
            </w:r>
          </w:p>
        </w:tc>
        <w:tc>
          <w:tcPr>
            <w:tcW w:w="1385" w:type="dxa"/>
            <w:tcBorders>
              <w:top w:val="single" w:color="auto" w:sz="4" w:space="0"/>
              <w:left w:val="single" w:color="auto" w:sz="4" w:space="0"/>
              <w:bottom w:val="single" w:color="auto" w:sz="4" w:space="0"/>
              <w:right w:val="single" w:color="auto" w:sz="4" w:space="0"/>
            </w:tcBorders>
          </w:tcPr>
          <w:p>
            <w:pPr>
              <w:spacing w:before="50" w:after="156"/>
              <w:jc w:val="center"/>
              <w:rPr>
                <w:color w:val="auto"/>
                <w:sz w:val="18"/>
                <w:szCs w:val="18"/>
                <w:highlight w:val="none"/>
              </w:rPr>
            </w:pPr>
            <w:r>
              <w:rPr>
                <w:rFonts w:hint="eastAsia"/>
                <w:color w:val="auto"/>
                <w:sz w:val="18"/>
                <w:szCs w:val="18"/>
                <w:highlight w:val="none"/>
              </w:rPr>
              <w:t>310</w:t>
            </w:r>
          </w:p>
        </w:tc>
        <w:tc>
          <w:tcPr>
            <w:tcW w:w="1144" w:type="dxa"/>
            <w:tcBorders>
              <w:top w:val="single" w:color="auto" w:sz="4" w:space="0"/>
              <w:left w:val="single" w:color="auto" w:sz="4" w:space="0"/>
              <w:bottom w:val="single" w:color="auto" w:sz="4" w:space="0"/>
              <w:right w:val="single" w:color="auto" w:sz="4" w:space="0"/>
            </w:tcBorders>
          </w:tcPr>
          <w:p>
            <w:pPr>
              <w:spacing w:before="50" w:after="156"/>
              <w:jc w:val="center"/>
              <w:rPr>
                <w:color w:val="auto"/>
                <w:sz w:val="18"/>
                <w:szCs w:val="18"/>
                <w:highlight w:val="none"/>
              </w:rPr>
            </w:pPr>
            <w:r>
              <w:rPr>
                <w:rFonts w:hint="eastAsia"/>
                <w:color w:val="auto"/>
                <w:sz w:val="18"/>
                <w:szCs w:val="18"/>
                <w:highlight w:val="none"/>
              </w:rPr>
              <w:t>17</w:t>
            </w:r>
          </w:p>
        </w:tc>
        <w:tc>
          <w:tcPr>
            <w:tcW w:w="1016" w:type="dxa"/>
            <w:tcBorders>
              <w:top w:val="single" w:color="auto" w:sz="4" w:space="0"/>
              <w:left w:val="single" w:color="auto" w:sz="4" w:space="0"/>
              <w:bottom w:val="single" w:color="auto" w:sz="4" w:space="0"/>
              <w:right w:val="single" w:color="auto" w:sz="4" w:space="0"/>
            </w:tcBorders>
          </w:tcPr>
          <w:p>
            <w:pPr>
              <w:spacing w:before="50" w:after="156"/>
              <w:jc w:val="center"/>
              <w:rPr>
                <w:color w:val="auto"/>
                <w:sz w:val="18"/>
                <w:szCs w:val="18"/>
                <w:highlight w:val="none"/>
              </w:rPr>
            </w:pPr>
            <w:r>
              <w:rPr>
                <w:rFonts w:hint="eastAsia"/>
                <w:color w:val="auto"/>
                <w:sz w:val="18"/>
                <w:szCs w:val="18"/>
                <w:highlight w:val="none"/>
              </w:rPr>
              <w:t>170-175</w:t>
            </w:r>
          </w:p>
        </w:tc>
        <w:tc>
          <w:tcPr>
            <w:tcW w:w="1006" w:type="dxa"/>
            <w:tcBorders>
              <w:top w:val="single" w:color="auto" w:sz="4" w:space="0"/>
              <w:left w:val="single" w:color="auto" w:sz="4" w:space="0"/>
              <w:bottom w:val="single" w:color="auto" w:sz="4" w:space="0"/>
              <w:right w:val="single" w:color="auto" w:sz="4" w:space="0"/>
            </w:tcBorders>
          </w:tcPr>
          <w:p>
            <w:pPr>
              <w:spacing w:before="50" w:after="156"/>
              <w:jc w:val="center"/>
              <w:rPr>
                <w:color w:val="auto"/>
                <w:sz w:val="18"/>
                <w:szCs w:val="18"/>
                <w:highlight w:val="none"/>
              </w:rPr>
            </w:pPr>
            <w:r>
              <w:rPr>
                <w:rFonts w:hint="eastAsia"/>
                <w:color w:val="auto"/>
                <w:sz w:val="18"/>
                <w:szCs w:val="18"/>
                <w:highlight w:val="none"/>
              </w:rPr>
              <w:t>150-190</w:t>
            </w:r>
          </w:p>
        </w:tc>
        <w:tc>
          <w:tcPr>
            <w:tcW w:w="1080" w:type="dxa"/>
            <w:tcBorders>
              <w:top w:val="single" w:color="auto" w:sz="4" w:space="0"/>
              <w:left w:val="single" w:color="auto" w:sz="4" w:space="0"/>
              <w:bottom w:val="single" w:color="auto" w:sz="4" w:space="0"/>
              <w:right w:val="single" w:color="auto" w:sz="4" w:space="0"/>
            </w:tcBorders>
          </w:tcPr>
          <w:p>
            <w:pPr>
              <w:spacing w:before="50" w:after="156"/>
              <w:jc w:val="center"/>
              <w:rPr>
                <w:color w:val="auto"/>
                <w:sz w:val="18"/>
                <w:szCs w:val="18"/>
                <w:highlight w:val="none"/>
              </w:rPr>
            </w:pPr>
            <w:r>
              <w:rPr>
                <w:rFonts w:hint="eastAsia"/>
                <w:color w:val="auto"/>
                <w:sz w:val="18"/>
                <w:szCs w:val="18"/>
                <w:highlight w:val="none"/>
              </w:rPr>
              <w:t>Max20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1577" w:type="dxa"/>
          </w:tcPr>
          <w:p>
            <w:pPr>
              <w:pStyle w:val="14"/>
              <w:widowControl w:val="0"/>
              <w:numPr>
                <w:ilvl w:val="0"/>
                <w:numId w:val="0"/>
              </w:numPr>
              <w:spacing w:before="0" w:after="0" w:line="340" w:lineRule="exact"/>
              <w:jc w:val="center"/>
              <w:rPr>
                <w:rFonts w:ascii="Times New Roman"/>
                <w:color w:val="auto"/>
                <w:sz w:val="18"/>
                <w:szCs w:val="18"/>
                <w:highlight w:val="none"/>
              </w:rPr>
            </w:pPr>
            <w:r>
              <w:rPr>
                <w:rFonts w:hint="eastAsia" w:ascii="Times New Roman"/>
                <w:color w:val="auto"/>
                <w:sz w:val="18"/>
                <w:szCs w:val="18"/>
                <w:highlight w:val="none"/>
              </w:rPr>
              <w:t>SiboDur550-12</w:t>
            </w:r>
          </w:p>
        </w:tc>
        <w:tc>
          <w:tcPr>
            <w:tcW w:w="1294" w:type="dxa"/>
            <w:tcBorders>
              <w:top w:val="single" w:color="auto" w:sz="4" w:space="0"/>
            </w:tcBorders>
          </w:tcPr>
          <w:p>
            <w:pPr>
              <w:spacing w:before="50" w:after="156"/>
              <w:jc w:val="center"/>
              <w:rPr>
                <w:color w:val="auto"/>
                <w:sz w:val="18"/>
                <w:szCs w:val="18"/>
                <w:highlight w:val="none"/>
              </w:rPr>
            </w:pPr>
            <w:r>
              <w:rPr>
                <w:rFonts w:hint="eastAsia"/>
                <w:color w:val="auto"/>
                <w:sz w:val="18"/>
                <w:szCs w:val="18"/>
                <w:highlight w:val="none"/>
              </w:rPr>
              <w:t>550</w:t>
            </w:r>
          </w:p>
        </w:tc>
        <w:tc>
          <w:tcPr>
            <w:tcW w:w="1385" w:type="dxa"/>
            <w:tcBorders>
              <w:top w:val="single" w:color="auto" w:sz="4" w:space="0"/>
            </w:tcBorders>
          </w:tcPr>
          <w:p>
            <w:pPr>
              <w:spacing w:before="50" w:after="156"/>
              <w:jc w:val="center"/>
              <w:rPr>
                <w:color w:val="auto"/>
                <w:sz w:val="18"/>
                <w:szCs w:val="18"/>
                <w:highlight w:val="none"/>
              </w:rPr>
            </w:pPr>
            <w:r>
              <w:rPr>
                <w:rFonts w:hint="eastAsia"/>
                <w:color w:val="auto"/>
                <w:sz w:val="18"/>
                <w:szCs w:val="18"/>
                <w:highlight w:val="none"/>
              </w:rPr>
              <w:t>380</w:t>
            </w:r>
          </w:p>
        </w:tc>
        <w:tc>
          <w:tcPr>
            <w:tcW w:w="1144" w:type="dxa"/>
            <w:tcBorders>
              <w:top w:val="single" w:color="auto" w:sz="4" w:space="0"/>
            </w:tcBorders>
          </w:tcPr>
          <w:p>
            <w:pPr>
              <w:spacing w:before="50" w:after="156"/>
              <w:jc w:val="center"/>
              <w:rPr>
                <w:color w:val="auto"/>
                <w:sz w:val="18"/>
                <w:szCs w:val="18"/>
                <w:highlight w:val="none"/>
              </w:rPr>
            </w:pPr>
            <w:r>
              <w:rPr>
                <w:rFonts w:hint="eastAsia"/>
                <w:color w:val="auto"/>
                <w:sz w:val="18"/>
                <w:szCs w:val="18"/>
                <w:highlight w:val="none"/>
              </w:rPr>
              <w:t>12</w:t>
            </w:r>
          </w:p>
        </w:tc>
        <w:tc>
          <w:tcPr>
            <w:tcW w:w="1016" w:type="dxa"/>
            <w:tcBorders>
              <w:top w:val="single" w:color="auto" w:sz="4" w:space="0"/>
            </w:tcBorders>
          </w:tcPr>
          <w:p>
            <w:pPr>
              <w:spacing w:before="50" w:after="156"/>
              <w:jc w:val="center"/>
              <w:rPr>
                <w:color w:val="auto"/>
                <w:sz w:val="18"/>
                <w:szCs w:val="18"/>
                <w:highlight w:val="none"/>
              </w:rPr>
            </w:pPr>
            <w:r>
              <w:rPr>
                <w:rFonts w:hint="eastAsia"/>
                <w:color w:val="auto"/>
                <w:sz w:val="18"/>
                <w:szCs w:val="18"/>
                <w:highlight w:val="none"/>
              </w:rPr>
              <w:t>170-175</w:t>
            </w:r>
          </w:p>
        </w:tc>
        <w:tc>
          <w:tcPr>
            <w:tcW w:w="1006" w:type="dxa"/>
            <w:tcBorders>
              <w:top w:val="single" w:color="auto" w:sz="4" w:space="0"/>
            </w:tcBorders>
          </w:tcPr>
          <w:p>
            <w:pPr>
              <w:spacing w:before="50" w:after="156"/>
              <w:jc w:val="center"/>
              <w:rPr>
                <w:color w:val="auto"/>
                <w:sz w:val="18"/>
                <w:szCs w:val="18"/>
                <w:highlight w:val="none"/>
              </w:rPr>
            </w:pPr>
            <w:r>
              <w:rPr>
                <w:rFonts w:hint="eastAsia"/>
                <w:color w:val="auto"/>
                <w:sz w:val="18"/>
                <w:szCs w:val="18"/>
                <w:highlight w:val="none"/>
              </w:rPr>
              <w:t>200-240</w:t>
            </w:r>
          </w:p>
        </w:tc>
        <w:tc>
          <w:tcPr>
            <w:tcW w:w="1080" w:type="dxa"/>
            <w:tcBorders>
              <w:top w:val="single" w:color="auto" w:sz="4" w:space="0"/>
            </w:tcBorders>
          </w:tcPr>
          <w:p>
            <w:pPr>
              <w:spacing w:before="50" w:after="156"/>
              <w:jc w:val="center"/>
              <w:rPr>
                <w:color w:val="auto"/>
                <w:sz w:val="18"/>
                <w:szCs w:val="18"/>
                <w:highlight w:val="none"/>
              </w:rPr>
            </w:pPr>
            <w:r>
              <w:rPr>
                <w:rFonts w:hint="eastAsia"/>
                <w:color w:val="auto"/>
                <w:sz w:val="18"/>
                <w:szCs w:val="18"/>
                <w:highlight w:val="none"/>
              </w:rPr>
              <w:t>30-70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1577" w:type="dxa"/>
          </w:tcPr>
          <w:p>
            <w:pPr>
              <w:pStyle w:val="14"/>
              <w:widowControl w:val="0"/>
              <w:numPr>
                <w:ilvl w:val="0"/>
                <w:numId w:val="0"/>
              </w:numPr>
              <w:spacing w:before="0" w:after="0" w:line="340" w:lineRule="exact"/>
              <w:jc w:val="center"/>
              <w:rPr>
                <w:rFonts w:ascii="Times New Roman"/>
                <w:color w:val="auto"/>
                <w:sz w:val="18"/>
                <w:szCs w:val="18"/>
                <w:highlight w:val="none"/>
              </w:rPr>
            </w:pPr>
            <w:r>
              <w:rPr>
                <w:rFonts w:hint="eastAsia" w:ascii="Times New Roman"/>
                <w:color w:val="auto"/>
                <w:sz w:val="18"/>
                <w:szCs w:val="18"/>
                <w:highlight w:val="none"/>
              </w:rPr>
              <w:t>SiboDur700-10</w:t>
            </w:r>
          </w:p>
        </w:tc>
        <w:tc>
          <w:tcPr>
            <w:tcW w:w="1294" w:type="dxa"/>
          </w:tcPr>
          <w:p>
            <w:pPr>
              <w:spacing w:before="50" w:after="156"/>
              <w:jc w:val="center"/>
              <w:rPr>
                <w:color w:val="auto"/>
                <w:sz w:val="18"/>
                <w:szCs w:val="18"/>
                <w:highlight w:val="none"/>
              </w:rPr>
            </w:pPr>
            <w:r>
              <w:rPr>
                <w:rFonts w:hint="eastAsia"/>
                <w:color w:val="auto"/>
                <w:sz w:val="18"/>
                <w:szCs w:val="18"/>
                <w:highlight w:val="none"/>
              </w:rPr>
              <w:t>700</w:t>
            </w:r>
          </w:p>
        </w:tc>
        <w:tc>
          <w:tcPr>
            <w:tcW w:w="1385" w:type="dxa"/>
          </w:tcPr>
          <w:p>
            <w:pPr>
              <w:spacing w:before="50" w:after="156"/>
              <w:jc w:val="center"/>
              <w:rPr>
                <w:color w:val="auto"/>
                <w:sz w:val="18"/>
                <w:szCs w:val="18"/>
                <w:highlight w:val="none"/>
              </w:rPr>
            </w:pPr>
            <w:r>
              <w:rPr>
                <w:rFonts w:hint="eastAsia"/>
                <w:color w:val="auto"/>
                <w:sz w:val="18"/>
                <w:szCs w:val="18"/>
                <w:highlight w:val="none"/>
              </w:rPr>
              <w:t>440</w:t>
            </w:r>
          </w:p>
        </w:tc>
        <w:tc>
          <w:tcPr>
            <w:tcW w:w="1144" w:type="dxa"/>
          </w:tcPr>
          <w:p>
            <w:pPr>
              <w:spacing w:before="50" w:after="156"/>
              <w:jc w:val="center"/>
              <w:rPr>
                <w:color w:val="auto"/>
                <w:sz w:val="18"/>
                <w:szCs w:val="18"/>
                <w:highlight w:val="none"/>
              </w:rPr>
            </w:pPr>
            <w:r>
              <w:rPr>
                <w:rFonts w:hint="eastAsia"/>
                <w:color w:val="auto"/>
                <w:sz w:val="18"/>
                <w:szCs w:val="18"/>
                <w:highlight w:val="none"/>
              </w:rPr>
              <w:t>8-12</w:t>
            </w:r>
          </w:p>
        </w:tc>
        <w:tc>
          <w:tcPr>
            <w:tcW w:w="1016" w:type="dxa"/>
          </w:tcPr>
          <w:p>
            <w:pPr>
              <w:spacing w:before="50" w:after="156"/>
              <w:jc w:val="center"/>
              <w:rPr>
                <w:color w:val="auto"/>
                <w:sz w:val="18"/>
                <w:szCs w:val="18"/>
                <w:highlight w:val="none"/>
              </w:rPr>
            </w:pPr>
            <w:r>
              <w:rPr>
                <w:rFonts w:hint="eastAsia"/>
                <w:color w:val="auto"/>
                <w:sz w:val="18"/>
                <w:szCs w:val="18"/>
                <w:highlight w:val="none"/>
              </w:rPr>
              <w:t>170-180</w:t>
            </w:r>
          </w:p>
        </w:tc>
        <w:tc>
          <w:tcPr>
            <w:tcW w:w="1006" w:type="dxa"/>
          </w:tcPr>
          <w:p>
            <w:pPr>
              <w:spacing w:before="50" w:after="156"/>
              <w:jc w:val="center"/>
              <w:rPr>
                <w:color w:val="auto"/>
                <w:sz w:val="18"/>
                <w:szCs w:val="18"/>
                <w:highlight w:val="none"/>
              </w:rPr>
            </w:pPr>
            <w:r>
              <w:rPr>
                <w:rFonts w:hint="eastAsia"/>
                <w:color w:val="auto"/>
                <w:sz w:val="18"/>
                <w:szCs w:val="18"/>
                <w:highlight w:val="none"/>
              </w:rPr>
              <w:t>240-290</w:t>
            </w:r>
          </w:p>
        </w:tc>
        <w:tc>
          <w:tcPr>
            <w:tcW w:w="1080" w:type="dxa"/>
          </w:tcPr>
          <w:p>
            <w:pPr>
              <w:spacing w:before="50" w:after="156"/>
              <w:jc w:val="center"/>
              <w:rPr>
                <w:color w:val="auto"/>
                <w:sz w:val="18"/>
                <w:szCs w:val="18"/>
                <w:highlight w:val="none"/>
              </w:rPr>
            </w:pPr>
            <w:r>
              <w:rPr>
                <w:rFonts w:hint="eastAsia"/>
                <w:color w:val="auto"/>
                <w:sz w:val="18"/>
                <w:szCs w:val="18"/>
                <w:highlight w:val="none"/>
              </w:rPr>
              <w:t>60-90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1577" w:type="dxa"/>
          </w:tcPr>
          <w:p>
            <w:pPr>
              <w:pStyle w:val="14"/>
              <w:widowControl w:val="0"/>
              <w:numPr>
                <w:ilvl w:val="0"/>
                <w:numId w:val="0"/>
              </w:numPr>
              <w:spacing w:before="0" w:after="0" w:line="340" w:lineRule="exact"/>
              <w:jc w:val="center"/>
              <w:rPr>
                <w:rFonts w:ascii="Times New Roman"/>
                <w:color w:val="auto"/>
                <w:sz w:val="18"/>
                <w:szCs w:val="18"/>
                <w:highlight w:val="none"/>
              </w:rPr>
            </w:pPr>
            <w:r>
              <w:rPr>
                <w:rFonts w:hint="eastAsia" w:ascii="Times New Roman"/>
                <w:color w:val="auto"/>
                <w:sz w:val="18"/>
                <w:szCs w:val="18"/>
                <w:highlight w:val="none"/>
              </w:rPr>
              <w:t>SiboDur800-5</w:t>
            </w:r>
          </w:p>
        </w:tc>
        <w:tc>
          <w:tcPr>
            <w:tcW w:w="1294" w:type="dxa"/>
          </w:tcPr>
          <w:p>
            <w:pPr>
              <w:spacing w:before="50" w:after="156"/>
              <w:jc w:val="center"/>
              <w:rPr>
                <w:color w:val="auto"/>
                <w:sz w:val="18"/>
                <w:szCs w:val="18"/>
                <w:highlight w:val="none"/>
              </w:rPr>
            </w:pPr>
            <w:r>
              <w:rPr>
                <w:rFonts w:hint="eastAsia"/>
                <w:color w:val="auto"/>
                <w:sz w:val="18"/>
                <w:szCs w:val="18"/>
                <w:highlight w:val="none"/>
              </w:rPr>
              <w:t>800</w:t>
            </w:r>
          </w:p>
        </w:tc>
        <w:tc>
          <w:tcPr>
            <w:tcW w:w="1385" w:type="dxa"/>
          </w:tcPr>
          <w:p>
            <w:pPr>
              <w:spacing w:before="50" w:after="156"/>
              <w:jc w:val="center"/>
              <w:rPr>
                <w:color w:val="auto"/>
                <w:sz w:val="18"/>
                <w:szCs w:val="18"/>
                <w:highlight w:val="none"/>
              </w:rPr>
            </w:pPr>
            <w:r>
              <w:rPr>
                <w:rFonts w:hint="eastAsia"/>
                <w:color w:val="auto"/>
                <w:sz w:val="18"/>
                <w:szCs w:val="18"/>
                <w:highlight w:val="none"/>
              </w:rPr>
              <w:t>480</w:t>
            </w:r>
          </w:p>
        </w:tc>
        <w:tc>
          <w:tcPr>
            <w:tcW w:w="1144" w:type="dxa"/>
          </w:tcPr>
          <w:p>
            <w:pPr>
              <w:spacing w:before="50" w:after="156"/>
              <w:jc w:val="center"/>
              <w:rPr>
                <w:color w:val="auto"/>
                <w:sz w:val="18"/>
                <w:szCs w:val="18"/>
                <w:highlight w:val="none"/>
              </w:rPr>
            </w:pPr>
            <w:r>
              <w:rPr>
                <w:rFonts w:hint="eastAsia"/>
                <w:color w:val="auto"/>
                <w:sz w:val="18"/>
                <w:szCs w:val="18"/>
                <w:highlight w:val="none"/>
              </w:rPr>
              <w:t>5</w:t>
            </w:r>
          </w:p>
        </w:tc>
        <w:tc>
          <w:tcPr>
            <w:tcW w:w="1016" w:type="dxa"/>
          </w:tcPr>
          <w:p>
            <w:pPr>
              <w:spacing w:before="50" w:after="156"/>
              <w:jc w:val="center"/>
              <w:rPr>
                <w:color w:val="auto"/>
                <w:sz w:val="18"/>
                <w:szCs w:val="18"/>
                <w:highlight w:val="none"/>
              </w:rPr>
            </w:pPr>
            <w:r>
              <w:rPr>
                <w:rFonts w:hint="eastAsia"/>
                <w:color w:val="auto"/>
                <w:sz w:val="18"/>
                <w:szCs w:val="18"/>
                <w:highlight w:val="none"/>
              </w:rPr>
              <w:t>170-180</w:t>
            </w:r>
          </w:p>
        </w:tc>
        <w:tc>
          <w:tcPr>
            <w:tcW w:w="1006" w:type="dxa"/>
          </w:tcPr>
          <w:p>
            <w:pPr>
              <w:spacing w:before="50" w:after="156"/>
              <w:jc w:val="center"/>
              <w:rPr>
                <w:color w:val="auto"/>
                <w:sz w:val="18"/>
                <w:szCs w:val="18"/>
                <w:highlight w:val="none"/>
              </w:rPr>
            </w:pPr>
            <w:r>
              <w:rPr>
                <w:rFonts w:hint="eastAsia"/>
                <w:color w:val="auto"/>
                <w:sz w:val="18"/>
                <w:szCs w:val="18"/>
                <w:highlight w:val="none"/>
              </w:rPr>
              <w:t>250-300</w:t>
            </w:r>
          </w:p>
        </w:tc>
        <w:tc>
          <w:tcPr>
            <w:tcW w:w="1080" w:type="dxa"/>
          </w:tcPr>
          <w:p>
            <w:pPr>
              <w:spacing w:before="50" w:after="156"/>
              <w:jc w:val="center"/>
              <w:rPr>
                <w:color w:val="auto"/>
                <w:sz w:val="18"/>
                <w:szCs w:val="18"/>
                <w:highlight w:val="none"/>
              </w:rPr>
            </w:pPr>
            <w:r>
              <w:rPr>
                <w:rFonts w:hint="eastAsia" w:ascii="微软雅黑" w:hAnsi="微软雅黑" w:eastAsia="微软雅黑" w:cs="微软雅黑"/>
                <w:color w:val="auto"/>
                <w:sz w:val="18"/>
                <w:szCs w:val="18"/>
                <w:highlight w:val="none"/>
              </w:rPr>
              <w:t>&gt;</w:t>
            </w:r>
            <w:r>
              <w:rPr>
                <w:rFonts w:hint="eastAsia"/>
                <w:color w:val="auto"/>
                <w:sz w:val="18"/>
                <w:szCs w:val="18"/>
                <w:highlight w:val="none"/>
              </w:rPr>
              <w:t>80</w:t>
            </w:r>
          </w:p>
        </w:tc>
      </w:tr>
    </w:tbl>
    <w:p>
      <w:pPr>
        <w:spacing w:before="156" w:beforeLines="50" w:after="156" w:afterLines="50" w:line="440" w:lineRule="exact"/>
        <w:ind w:firstLine="480" w:firstLineChars="200"/>
        <w:outlineLvl w:val="0"/>
        <w:rPr>
          <w:rFonts w:hAnsiTheme="minorEastAsia" w:eastAsiaTheme="minorEastAsia"/>
          <w:color w:val="auto"/>
          <w:sz w:val="24"/>
          <w:highlight w:val="none"/>
        </w:rPr>
      </w:pPr>
      <w:r>
        <w:rPr>
          <w:rFonts w:hint="eastAsia" w:hAnsi="宋体" w:eastAsia="宋体"/>
          <w:color w:val="auto"/>
          <w:sz w:val="24"/>
          <w:highlight w:val="none"/>
        </w:rPr>
        <w:t>国内标准相比，GB T1348-2019《球墨铸铁件》标准中对应的只有QT900-2、QT800-2、QT700-2，没有本标准制定的牌号QT900-5、QT800-5和QT700-10，更没有QT1000-5牌号；GB T 24733-2009《等温淬火球墨铸铁件》标准中对应的有QTD800-10、QTD900-8、QTD1050-6等牌号，与之</w:t>
      </w:r>
      <w:r>
        <w:rPr>
          <w:rFonts w:hint="eastAsia" w:hAnsiTheme="minorEastAsia" w:eastAsiaTheme="minorEastAsia"/>
          <w:color w:val="auto"/>
          <w:sz w:val="24"/>
          <w:highlight w:val="none"/>
        </w:rPr>
        <w:t>相比有较大的成本优势。</w:t>
      </w:r>
    </w:p>
    <w:p>
      <w:pPr>
        <w:spacing w:before="156" w:beforeLines="50" w:after="156" w:afterLines="50" w:line="440" w:lineRule="exact"/>
        <w:ind w:firstLine="482" w:firstLineChars="200"/>
        <w:outlineLvl w:val="0"/>
        <w:rPr>
          <w:rFonts w:ascii="黑体" w:hAnsi="宋体" w:eastAsia="黑体"/>
          <w:b/>
          <w:color w:val="auto"/>
          <w:sz w:val="24"/>
          <w:szCs w:val="24"/>
          <w:highlight w:val="none"/>
        </w:rPr>
      </w:pPr>
      <w:r>
        <w:rPr>
          <w:rFonts w:hint="eastAsia" w:ascii="黑体" w:hAnsi="宋体" w:eastAsia="黑体"/>
          <w:b/>
          <w:color w:val="auto"/>
          <w:sz w:val="24"/>
          <w:szCs w:val="24"/>
          <w:highlight w:val="none"/>
        </w:rPr>
        <w:t>5.标准主要内容</w:t>
      </w:r>
    </w:p>
    <w:p>
      <w:pPr>
        <w:spacing w:before="156" w:beforeLines="50" w:after="156" w:afterLines="50" w:line="440" w:lineRule="exact"/>
        <w:ind w:firstLine="480" w:firstLineChars="200"/>
        <w:rPr>
          <w:rFonts w:ascii="黑体" w:hAnsi="宋体" w:eastAsia="黑体"/>
          <w:color w:val="auto"/>
          <w:sz w:val="24"/>
          <w:szCs w:val="24"/>
          <w:highlight w:val="none"/>
        </w:rPr>
      </w:pPr>
      <w:r>
        <w:rPr>
          <w:rFonts w:hint="eastAsia" w:ascii="黑体" w:hAnsi="宋体" w:eastAsia="黑体"/>
          <w:color w:val="auto"/>
          <w:sz w:val="24"/>
          <w:szCs w:val="24"/>
          <w:highlight w:val="none"/>
        </w:rPr>
        <w:t>1）适用范围</w:t>
      </w:r>
    </w:p>
    <w:p>
      <w:pPr>
        <w:spacing w:before="156" w:beforeLines="50" w:after="156" w:afterLines="50" w:line="440" w:lineRule="exact"/>
        <w:ind w:firstLine="480" w:firstLineChars="200"/>
        <w:outlineLvl w:val="0"/>
        <w:rPr>
          <w:rFonts w:hAnsi="宋体" w:eastAsia="宋体"/>
          <w:color w:val="auto"/>
          <w:sz w:val="24"/>
          <w:highlight w:val="none"/>
        </w:rPr>
      </w:pPr>
      <w:r>
        <w:rPr>
          <w:rFonts w:hint="eastAsia" w:hAnsi="宋体" w:eastAsia="宋体"/>
          <w:color w:val="auto"/>
          <w:sz w:val="24"/>
          <w:highlight w:val="none"/>
        </w:rPr>
        <w:t>本文件规定了高强度高塑性球墨铸铁件的术语和定义、牌号、技术要求、试样制备、试验方法、检验规则及铸件标志、包装和储运要求。</w:t>
      </w:r>
    </w:p>
    <w:p>
      <w:pPr>
        <w:spacing w:before="156" w:beforeLines="50" w:after="156" w:afterLines="50" w:line="440" w:lineRule="exact"/>
        <w:ind w:firstLine="480" w:firstLineChars="200"/>
        <w:outlineLvl w:val="0"/>
        <w:rPr>
          <w:rFonts w:hAnsi="宋体" w:eastAsia="宋体"/>
          <w:color w:val="auto"/>
          <w:sz w:val="24"/>
          <w:highlight w:val="none"/>
        </w:rPr>
      </w:pPr>
      <w:r>
        <w:rPr>
          <w:rFonts w:hint="eastAsia" w:hAnsi="宋体" w:eastAsia="宋体"/>
          <w:color w:val="auto"/>
          <w:sz w:val="24"/>
          <w:highlight w:val="none"/>
        </w:rPr>
        <w:t>本文件适用于铁型覆砂、金属型和壳型背丸生产的高强度高塑性球墨铸铁件。其他铸造方法生产的高强度高塑性球墨铸铁件，可参照使用。</w:t>
      </w:r>
    </w:p>
    <w:p>
      <w:pPr>
        <w:spacing w:before="156" w:beforeLines="50" w:after="156" w:afterLines="50" w:line="440" w:lineRule="exact"/>
        <w:ind w:firstLine="480" w:firstLineChars="200"/>
        <w:outlineLvl w:val="0"/>
        <w:rPr>
          <w:rFonts w:hAnsi="宋体"/>
          <w:color w:val="auto"/>
          <w:sz w:val="24"/>
          <w:highlight w:val="none"/>
        </w:rPr>
      </w:pPr>
      <w:r>
        <w:rPr>
          <w:rFonts w:hint="eastAsia" w:hAnsi="宋体" w:eastAsia="宋体"/>
          <w:color w:val="auto"/>
          <w:sz w:val="24"/>
          <w:highlight w:val="none"/>
        </w:rPr>
        <w:t>本文件不适用于等温淬火球墨铸铁件。</w:t>
      </w:r>
    </w:p>
    <w:p>
      <w:pPr>
        <w:spacing w:before="156" w:beforeLines="50" w:after="156" w:afterLines="50" w:line="440" w:lineRule="exact"/>
        <w:ind w:firstLine="480" w:firstLineChars="200"/>
        <w:outlineLvl w:val="0"/>
        <w:rPr>
          <w:rFonts w:ascii="黑体" w:hAnsi="宋体" w:eastAsia="黑体"/>
          <w:color w:val="auto"/>
          <w:sz w:val="24"/>
          <w:szCs w:val="24"/>
          <w:highlight w:val="none"/>
        </w:rPr>
      </w:pPr>
      <w:r>
        <w:rPr>
          <w:rFonts w:ascii="黑体" w:hAnsi="宋体" w:eastAsia="黑体"/>
          <w:color w:val="auto"/>
          <w:sz w:val="24"/>
          <w:szCs w:val="24"/>
          <w:highlight w:val="none"/>
        </w:rPr>
        <w:t>2</w:t>
      </w:r>
      <w:r>
        <w:rPr>
          <w:rFonts w:hint="eastAsia" w:ascii="黑体" w:hAnsi="宋体" w:eastAsia="黑体"/>
          <w:color w:val="auto"/>
          <w:sz w:val="24"/>
          <w:szCs w:val="24"/>
          <w:highlight w:val="none"/>
        </w:rPr>
        <w:t>）主要内容</w:t>
      </w:r>
    </w:p>
    <w:p>
      <w:pPr>
        <w:spacing w:before="156" w:beforeLines="50" w:after="156" w:afterLines="50" w:line="440" w:lineRule="exact"/>
        <w:ind w:firstLine="480" w:firstLineChars="200"/>
        <w:rPr>
          <w:rFonts w:ascii="黑体" w:hAnsi="宋体" w:eastAsia="黑体"/>
          <w:color w:val="auto"/>
          <w:sz w:val="24"/>
          <w:szCs w:val="24"/>
          <w:highlight w:val="none"/>
        </w:rPr>
      </w:pPr>
      <w:r>
        <w:rPr>
          <w:rFonts w:hint="eastAsia" w:ascii="黑体" w:hAnsi="宋体" w:eastAsia="黑体"/>
          <w:color w:val="auto"/>
          <w:sz w:val="24"/>
          <w:szCs w:val="24"/>
          <w:highlight w:val="none"/>
        </w:rPr>
        <w:t>（主要性能指标、技术要求、试验方法、检验规则等，应详细描述设定的理由，与现有国内外标准不一样的理由以及标准解决的主要问题等）</w:t>
      </w:r>
    </w:p>
    <w:p>
      <w:pPr>
        <w:spacing w:before="156" w:beforeLines="50" w:after="156" w:afterLines="50" w:line="440" w:lineRule="exact"/>
        <w:ind w:firstLine="480" w:firstLineChars="200"/>
        <w:outlineLvl w:val="0"/>
        <w:rPr>
          <w:rFonts w:hAnsi="宋体" w:eastAsia="宋体"/>
          <w:color w:val="auto"/>
          <w:sz w:val="24"/>
          <w:highlight w:val="none"/>
        </w:rPr>
      </w:pPr>
      <w:r>
        <w:rPr>
          <w:rFonts w:hAnsi="宋体" w:eastAsia="宋体"/>
          <w:color w:val="auto"/>
          <w:sz w:val="24"/>
          <w:highlight w:val="none"/>
        </w:rPr>
        <w:t>表</w:t>
      </w:r>
      <w:r>
        <w:rPr>
          <w:rFonts w:hint="eastAsia" w:hAnsi="宋体" w:eastAsia="宋体"/>
          <w:color w:val="auto"/>
          <w:sz w:val="24"/>
          <w:highlight w:val="none"/>
        </w:rPr>
        <w:t>1规定了5个牌号的拉伸性能</w:t>
      </w:r>
      <w:r>
        <w:rPr>
          <w:rFonts w:hAnsi="宋体" w:eastAsia="宋体"/>
          <w:color w:val="auto"/>
          <w:sz w:val="24"/>
          <w:highlight w:val="none"/>
        </w:rPr>
        <w:t>指标</w:t>
      </w:r>
      <w:r>
        <w:rPr>
          <w:rFonts w:hint="eastAsia" w:hAnsi="宋体" w:eastAsia="宋体"/>
          <w:color w:val="auto"/>
          <w:sz w:val="24"/>
          <w:highlight w:val="none"/>
        </w:rPr>
        <w:t>。</w:t>
      </w:r>
      <w:r>
        <w:rPr>
          <w:rFonts w:hAnsi="宋体" w:eastAsia="宋体"/>
          <w:color w:val="auto"/>
          <w:sz w:val="24"/>
          <w:highlight w:val="none"/>
        </w:rPr>
        <w:t>表</w:t>
      </w:r>
      <w:r>
        <w:rPr>
          <w:rFonts w:hint="eastAsia" w:hAnsi="宋体" w:eastAsia="宋体"/>
          <w:color w:val="auto"/>
          <w:sz w:val="24"/>
          <w:highlight w:val="none"/>
        </w:rPr>
        <w:t>2给出了布氏硬度指导值。</w:t>
      </w:r>
    </w:p>
    <w:p>
      <w:pPr>
        <w:pStyle w:val="16"/>
        <w:numPr>
          <w:ilvl w:val="0"/>
          <w:numId w:val="0"/>
        </w:numPr>
        <w:spacing w:before="156" w:beforeLines="50" w:after="156" w:afterLines="50" w:line="240" w:lineRule="exact"/>
        <w:jc w:val="center"/>
        <w:rPr>
          <w:rFonts w:hAnsi="黑体"/>
          <w:color w:val="auto"/>
          <w:szCs w:val="21"/>
          <w:highlight w:val="none"/>
        </w:rPr>
      </w:pPr>
      <w:r>
        <w:rPr>
          <w:rFonts w:hAnsi="黑体"/>
          <w:color w:val="auto"/>
          <w:szCs w:val="21"/>
          <w:highlight w:val="none"/>
        </w:rPr>
        <w:t xml:space="preserve">表1 </w:t>
      </w:r>
      <w:r>
        <w:rPr>
          <w:rFonts w:hAnsi="黑体"/>
          <w:b/>
          <w:bCs/>
          <w:color w:val="auto"/>
          <w:szCs w:val="21"/>
          <w:highlight w:val="none"/>
        </w:rPr>
        <w:t xml:space="preserve"> </w:t>
      </w:r>
      <w:r>
        <w:rPr>
          <w:rFonts w:hint="eastAsia"/>
          <w:color w:val="auto"/>
          <w:highlight w:val="none"/>
        </w:rPr>
        <w:t>高强度高塑性球墨铸铁件单铸、并排或附铸试样的拉伸性能</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1"/>
        <w:gridCol w:w="1384"/>
        <w:gridCol w:w="1429"/>
        <w:gridCol w:w="1500"/>
        <w:gridCol w:w="1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1021" w:type="dxa"/>
            <w:vAlign w:val="center"/>
          </w:tcPr>
          <w:p>
            <w:pPr>
              <w:pStyle w:val="14"/>
              <w:widowControl w:val="0"/>
              <w:numPr>
                <w:ilvl w:val="0"/>
                <w:numId w:val="0"/>
              </w:numPr>
              <w:spacing w:before="0" w:after="0" w:line="340" w:lineRule="exact"/>
              <w:jc w:val="center"/>
              <w:rPr>
                <w:rFonts w:ascii="Times New Roman"/>
                <w:color w:val="auto"/>
                <w:sz w:val="18"/>
                <w:szCs w:val="18"/>
                <w:highlight w:val="none"/>
              </w:rPr>
            </w:pPr>
            <w:r>
              <w:rPr>
                <w:rFonts w:hint="eastAsia" w:ascii="Times New Roman"/>
                <w:color w:val="auto"/>
                <w:sz w:val="18"/>
                <w:szCs w:val="18"/>
                <w:highlight w:val="none"/>
              </w:rPr>
              <w:t>牌号</w:t>
            </w:r>
          </w:p>
        </w:tc>
        <w:tc>
          <w:tcPr>
            <w:tcW w:w="1384" w:type="dxa"/>
            <w:tcBorders>
              <w:bottom w:val="single" w:color="auto" w:sz="4" w:space="0"/>
            </w:tcBorders>
            <w:vAlign w:val="center"/>
          </w:tcPr>
          <w:p>
            <w:pPr>
              <w:pStyle w:val="14"/>
              <w:widowControl w:val="0"/>
              <w:numPr>
                <w:ilvl w:val="0"/>
                <w:numId w:val="0"/>
              </w:numPr>
              <w:spacing w:before="0" w:after="0" w:line="340" w:lineRule="exact"/>
              <w:jc w:val="center"/>
              <w:rPr>
                <w:rFonts w:ascii="Times New Roman"/>
                <w:color w:val="auto"/>
                <w:sz w:val="18"/>
                <w:szCs w:val="18"/>
                <w:highlight w:val="none"/>
              </w:rPr>
            </w:pPr>
            <w:r>
              <w:rPr>
                <w:rFonts w:hint="eastAsia" w:ascii="Times New Roman"/>
                <w:color w:val="auto"/>
                <w:sz w:val="18"/>
                <w:szCs w:val="18"/>
                <w:highlight w:val="none"/>
              </w:rPr>
              <w:t>铸件</w:t>
            </w:r>
          </w:p>
          <w:p>
            <w:pPr>
              <w:pStyle w:val="14"/>
              <w:widowControl w:val="0"/>
              <w:numPr>
                <w:ilvl w:val="0"/>
                <w:numId w:val="0"/>
              </w:numPr>
              <w:spacing w:before="0" w:after="0" w:line="340" w:lineRule="exact"/>
              <w:jc w:val="center"/>
              <w:rPr>
                <w:rFonts w:ascii="Times New Roman"/>
                <w:color w:val="auto"/>
                <w:sz w:val="18"/>
                <w:szCs w:val="18"/>
                <w:highlight w:val="none"/>
              </w:rPr>
            </w:pPr>
            <w:r>
              <w:rPr>
                <w:rFonts w:hint="eastAsia" w:ascii="Times New Roman"/>
                <w:color w:val="auto"/>
                <w:sz w:val="18"/>
                <w:szCs w:val="18"/>
                <w:highlight w:val="none"/>
              </w:rPr>
              <w:t>主要壁厚t</w:t>
            </w:r>
            <w:r>
              <w:rPr>
                <w:rFonts w:ascii="Times New Roman"/>
                <w:color w:val="auto"/>
                <w:sz w:val="18"/>
                <w:szCs w:val="18"/>
                <w:highlight w:val="none"/>
              </w:rPr>
              <w:t>/mm</w:t>
            </w:r>
          </w:p>
        </w:tc>
        <w:tc>
          <w:tcPr>
            <w:tcW w:w="1429" w:type="dxa"/>
            <w:tcBorders>
              <w:bottom w:val="single" w:color="auto" w:sz="4" w:space="0"/>
            </w:tcBorders>
            <w:vAlign w:val="center"/>
          </w:tcPr>
          <w:p>
            <w:pPr>
              <w:pStyle w:val="14"/>
              <w:widowControl w:val="0"/>
              <w:numPr>
                <w:ilvl w:val="0"/>
                <w:numId w:val="0"/>
              </w:numPr>
              <w:spacing w:before="0" w:after="0" w:line="340" w:lineRule="exact"/>
              <w:jc w:val="center"/>
              <w:rPr>
                <w:rFonts w:ascii="Times New Roman"/>
                <w:color w:val="auto"/>
                <w:sz w:val="18"/>
                <w:szCs w:val="18"/>
                <w:highlight w:val="none"/>
              </w:rPr>
            </w:pPr>
            <w:r>
              <w:rPr>
                <w:rFonts w:hint="eastAsia" w:ascii="Times New Roman"/>
                <w:color w:val="auto"/>
                <w:sz w:val="18"/>
                <w:szCs w:val="18"/>
                <w:highlight w:val="none"/>
              </w:rPr>
              <w:t>抗拉强度R</w:t>
            </w:r>
            <w:r>
              <w:rPr>
                <w:rFonts w:hint="eastAsia" w:ascii="Times New Roman"/>
                <w:color w:val="auto"/>
                <w:sz w:val="18"/>
                <w:szCs w:val="18"/>
                <w:highlight w:val="none"/>
                <w:vertAlign w:val="subscript"/>
              </w:rPr>
              <w:t>m</w:t>
            </w:r>
            <w:r>
              <w:rPr>
                <w:rFonts w:hint="eastAsia" w:ascii="Times New Roman"/>
                <w:color w:val="auto"/>
                <w:sz w:val="18"/>
                <w:szCs w:val="18"/>
                <w:highlight w:val="none"/>
              </w:rPr>
              <w:t>（m</w:t>
            </w:r>
            <w:r>
              <w:rPr>
                <w:rFonts w:ascii="Times New Roman"/>
                <w:color w:val="auto"/>
                <w:sz w:val="18"/>
                <w:szCs w:val="18"/>
                <w:highlight w:val="none"/>
              </w:rPr>
              <w:t>in</w:t>
            </w:r>
            <w:r>
              <w:rPr>
                <w:rFonts w:hint="eastAsia" w:ascii="Times New Roman"/>
                <w:color w:val="auto"/>
                <w:sz w:val="18"/>
                <w:szCs w:val="18"/>
                <w:highlight w:val="none"/>
              </w:rPr>
              <w:t>.）</w:t>
            </w:r>
          </w:p>
          <w:p>
            <w:pPr>
              <w:pStyle w:val="14"/>
              <w:widowControl w:val="0"/>
              <w:numPr>
                <w:ilvl w:val="0"/>
                <w:numId w:val="0"/>
              </w:numPr>
              <w:spacing w:before="0" w:after="0" w:line="340" w:lineRule="exact"/>
              <w:jc w:val="center"/>
              <w:rPr>
                <w:rFonts w:ascii="Times New Roman"/>
                <w:color w:val="auto"/>
                <w:sz w:val="18"/>
                <w:szCs w:val="18"/>
                <w:highlight w:val="none"/>
              </w:rPr>
            </w:pPr>
            <w:r>
              <w:rPr>
                <w:rFonts w:ascii="Times New Roman"/>
                <w:color w:val="auto"/>
                <w:sz w:val="18"/>
                <w:szCs w:val="18"/>
                <w:highlight w:val="none"/>
              </w:rPr>
              <w:t>MPa</w:t>
            </w:r>
          </w:p>
        </w:tc>
        <w:tc>
          <w:tcPr>
            <w:tcW w:w="1500" w:type="dxa"/>
            <w:tcBorders>
              <w:bottom w:val="single" w:color="auto" w:sz="4" w:space="0"/>
            </w:tcBorders>
            <w:vAlign w:val="center"/>
          </w:tcPr>
          <w:p>
            <w:pPr>
              <w:pStyle w:val="14"/>
              <w:widowControl w:val="0"/>
              <w:numPr>
                <w:ilvl w:val="0"/>
                <w:numId w:val="0"/>
              </w:numPr>
              <w:spacing w:before="0" w:after="0" w:line="340" w:lineRule="exact"/>
              <w:jc w:val="center"/>
              <w:rPr>
                <w:rFonts w:ascii="Times New Roman"/>
                <w:color w:val="auto"/>
                <w:sz w:val="18"/>
                <w:szCs w:val="18"/>
                <w:highlight w:val="none"/>
              </w:rPr>
            </w:pPr>
            <w:r>
              <w:rPr>
                <w:rFonts w:hint="eastAsia" w:ascii="Times New Roman"/>
                <w:color w:val="auto"/>
                <w:sz w:val="18"/>
                <w:szCs w:val="18"/>
                <w:highlight w:val="none"/>
              </w:rPr>
              <w:t>屈服强度R</w:t>
            </w:r>
            <w:r>
              <w:rPr>
                <w:rFonts w:hint="eastAsia" w:ascii="Times New Roman"/>
                <w:color w:val="auto"/>
                <w:sz w:val="18"/>
                <w:szCs w:val="18"/>
                <w:highlight w:val="none"/>
                <w:vertAlign w:val="subscript"/>
              </w:rPr>
              <w:t>p0.2</w:t>
            </w:r>
            <w:r>
              <w:rPr>
                <w:rFonts w:hint="eastAsia" w:ascii="Times New Roman"/>
                <w:color w:val="auto"/>
                <w:sz w:val="18"/>
                <w:szCs w:val="18"/>
                <w:highlight w:val="none"/>
              </w:rPr>
              <w:t>（m</w:t>
            </w:r>
            <w:r>
              <w:rPr>
                <w:rFonts w:ascii="Times New Roman"/>
                <w:color w:val="auto"/>
                <w:sz w:val="18"/>
                <w:szCs w:val="18"/>
                <w:highlight w:val="none"/>
              </w:rPr>
              <w:t>in</w:t>
            </w:r>
            <w:r>
              <w:rPr>
                <w:rFonts w:hint="eastAsia" w:ascii="Times New Roman"/>
                <w:color w:val="auto"/>
                <w:sz w:val="18"/>
                <w:szCs w:val="18"/>
                <w:highlight w:val="none"/>
              </w:rPr>
              <w:t>.）</w:t>
            </w:r>
          </w:p>
          <w:p>
            <w:pPr>
              <w:pStyle w:val="14"/>
              <w:widowControl w:val="0"/>
              <w:numPr>
                <w:ilvl w:val="0"/>
                <w:numId w:val="0"/>
              </w:numPr>
              <w:spacing w:before="0" w:after="0" w:line="340" w:lineRule="exact"/>
              <w:jc w:val="center"/>
              <w:rPr>
                <w:rFonts w:ascii="Times New Roman"/>
                <w:color w:val="auto"/>
                <w:sz w:val="18"/>
                <w:szCs w:val="18"/>
                <w:highlight w:val="none"/>
              </w:rPr>
            </w:pPr>
            <w:r>
              <w:rPr>
                <w:rFonts w:hint="eastAsia" w:ascii="Times New Roman"/>
                <w:color w:val="auto"/>
                <w:sz w:val="18"/>
                <w:szCs w:val="18"/>
                <w:highlight w:val="none"/>
              </w:rPr>
              <w:t>MPa</w:t>
            </w:r>
          </w:p>
        </w:tc>
        <w:tc>
          <w:tcPr>
            <w:tcW w:w="1374" w:type="dxa"/>
            <w:tcBorders>
              <w:bottom w:val="single" w:color="auto" w:sz="4" w:space="0"/>
            </w:tcBorders>
            <w:vAlign w:val="center"/>
          </w:tcPr>
          <w:p>
            <w:pPr>
              <w:pStyle w:val="14"/>
              <w:widowControl w:val="0"/>
              <w:numPr>
                <w:ilvl w:val="0"/>
                <w:numId w:val="0"/>
              </w:numPr>
              <w:spacing w:before="0" w:after="0" w:line="340" w:lineRule="exact"/>
              <w:jc w:val="center"/>
              <w:rPr>
                <w:rFonts w:ascii="Times New Roman"/>
                <w:color w:val="auto"/>
                <w:sz w:val="18"/>
                <w:szCs w:val="18"/>
                <w:highlight w:val="none"/>
              </w:rPr>
            </w:pPr>
            <w:r>
              <w:rPr>
                <w:rFonts w:hint="eastAsia" w:ascii="Times New Roman"/>
                <w:color w:val="auto"/>
                <w:sz w:val="18"/>
                <w:szCs w:val="18"/>
                <w:highlight w:val="none"/>
              </w:rPr>
              <w:t>伸长率A</w:t>
            </w:r>
            <w:r>
              <w:rPr>
                <w:rFonts w:hint="eastAsia" w:ascii="Times New Roman"/>
                <w:color w:val="auto"/>
                <w:sz w:val="18"/>
                <w:szCs w:val="18"/>
                <w:highlight w:val="none"/>
                <w:vertAlign w:val="subscript"/>
              </w:rPr>
              <w:t>5</w:t>
            </w:r>
            <w:r>
              <w:rPr>
                <w:rFonts w:hint="eastAsia" w:ascii="Times New Roman"/>
                <w:color w:val="auto"/>
                <w:sz w:val="18"/>
                <w:szCs w:val="18"/>
                <w:highlight w:val="none"/>
              </w:rPr>
              <w:t>（m</w:t>
            </w:r>
            <w:r>
              <w:rPr>
                <w:rFonts w:ascii="Times New Roman"/>
                <w:color w:val="auto"/>
                <w:sz w:val="18"/>
                <w:szCs w:val="18"/>
                <w:highlight w:val="none"/>
              </w:rPr>
              <w:t>in</w:t>
            </w:r>
            <w:r>
              <w:rPr>
                <w:rFonts w:hint="eastAsia" w:ascii="Times New Roman"/>
                <w:color w:val="auto"/>
                <w:sz w:val="18"/>
                <w:szCs w:val="18"/>
                <w:highlight w:val="none"/>
              </w:rPr>
              <w:t>.）</w:t>
            </w:r>
          </w:p>
          <w:p>
            <w:pPr>
              <w:pStyle w:val="14"/>
              <w:widowControl w:val="0"/>
              <w:numPr>
                <w:ilvl w:val="0"/>
                <w:numId w:val="0"/>
              </w:numPr>
              <w:spacing w:before="0" w:after="0" w:line="340" w:lineRule="exact"/>
              <w:jc w:val="center"/>
              <w:rPr>
                <w:rFonts w:ascii="Times New Roman"/>
                <w:color w:val="auto"/>
                <w:sz w:val="18"/>
                <w:szCs w:val="18"/>
                <w:highlight w:val="none"/>
              </w:rPr>
            </w:pPr>
            <w:r>
              <w:rPr>
                <w:rFonts w:hint="eastAsia" w:ascii="Times New Roman"/>
                <w:color w:val="auto"/>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21" w:type="dxa"/>
            <w:vMerge w:val="restart"/>
          </w:tcPr>
          <w:p>
            <w:pPr>
              <w:pStyle w:val="14"/>
              <w:widowControl w:val="0"/>
              <w:numPr>
                <w:ilvl w:val="0"/>
                <w:numId w:val="0"/>
              </w:numPr>
              <w:spacing w:after="0" w:line="340" w:lineRule="exact"/>
              <w:jc w:val="center"/>
              <w:rPr>
                <w:rFonts w:ascii="Times New Roman"/>
                <w:color w:val="auto"/>
                <w:sz w:val="18"/>
                <w:szCs w:val="18"/>
                <w:highlight w:val="none"/>
              </w:rPr>
            </w:pPr>
          </w:p>
          <w:p>
            <w:pPr>
              <w:pStyle w:val="14"/>
              <w:widowControl w:val="0"/>
              <w:numPr>
                <w:ilvl w:val="0"/>
                <w:numId w:val="0"/>
              </w:numPr>
              <w:spacing w:after="0" w:line="340" w:lineRule="exact"/>
              <w:jc w:val="center"/>
              <w:rPr>
                <w:rFonts w:ascii="Times New Roman"/>
                <w:color w:val="auto"/>
                <w:sz w:val="18"/>
                <w:szCs w:val="18"/>
                <w:highlight w:val="none"/>
              </w:rPr>
            </w:pPr>
            <w:r>
              <w:rPr>
                <w:rFonts w:hint="eastAsia" w:ascii="Times New Roman"/>
                <w:color w:val="auto"/>
                <w:sz w:val="18"/>
                <w:szCs w:val="18"/>
                <w:highlight w:val="none"/>
              </w:rPr>
              <w:t>Q</w:t>
            </w:r>
            <w:r>
              <w:rPr>
                <w:rFonts w:ascii="Times New Roman"/>
                <w:color w:val="auto"/>
                <w:sz w:val="18"/>
                <w:szCs w:val="18"/>
                <w:highlight w:val="none"/>
              </w:rPr>
              <w:t>T700-</w:t>
            </w:r>
            <w:r>
              <w:rPr>
                <w:rFonts w:hint="eastAsia" w:ascii="Times New Roman"/>
                <w:color w:val="auto"/>
                <w:sz w:val="18"/>
                <w:szCs w:val="18"/>
                <w:highlight w:val="none"/>
              </w:rPr>
              <w:t>8</w:t>
            </w:r>
          </w:p>
          <w:p>
            <w:pPr>
              <w:pStyle w:val="14"/>
              <w:widowControl w:val="0"/>
              <w:numPr>
                <w:ilvl w:val="0"/>
                <w:numId w:val="0"/>
              </w:numPr>
              <w:spacing w:before="0" w:after="0" w:line="340" w:lineRule="exact"/>
              <w:jc w:val="center"/>
              <w:rPr>
                <w:rFonts w:ascii="Times New Roman"/>
                <w:color w:val="auto"/>
                <w:sz w:val="18"/>
                <w:szCs w:val="18"/>
                <w:highlight w:val="none"/>
              </w:rPr>
            </w:pPr>
          </w:p>
        </w:tc>
        <w:tc>
          <w:tcPr>
            <w:tcW w:w="1384" w:type="dxa"/>
            <w:tcBorders>
              <w:bottom w:val="single" w:color="auto" w:sz="4" w:space="0"/>
            </w:tcBorders>
          </w:tcPr>
          <w:p>
            <w:pPr>
              <w:spacing w:before="50" w:after="156"/>
              <w:jc w:val="center"/>
              <w:rPr>
                <w:color w:val="auto"/>
                <w:sz w:val="18"/>
                <w:szCs w:val="18"/>
                <w:highlight w:val="none"/>
              </w:rPr>
            </w:pPr>
            <w:r>
              <w:rPr>
                <w:color w:val="auto"/>
                <w:sz w:val="18"/>
                <w:szCs w:val="18"/>
                <w:highlight w:val="none"/>
              </w:rPr>
              <w:t>t≤30</w:t>
            </w:r>
          </w:p>
        </w:tc>
        <w:tc>
          <w:tcPr>
            <w:tcW w:w="1429" w:type="dxa"/>
            <w:tcBorders>
              <w:bottom w:val="single" w:color="auto" w:sz="4" w:space="0"/>
            </w:tcBorders>
          </w:tcPr>
          <w:p>
            <w:pPr>
              <w:spacing w:before="50" w:after="156"/>
              <w:jc w:val="center"/>
              <w:rPr>
                <w:color w:val="auto"/>
                <w:sz w:val="18"/>
                <w:szCs w:val="18"/>
                <w:highlight w:val="none"/>
              </w:rPr>
            </w:pPr>
            <w:r>
              <w:rPr>
                <w:rFonts w:hint="eastAsia"/>
                <w:color w:val="auto"/>
                <w:sz w:val="18"/>
                <w:szCs w:val="18"/>
                <w:highlight w:val="none"/>
              </w:rPr>
              <w:t>7</w:t>
            </w:r>
            <w:r>
              <w:rPr>
                <w:color w:val="auto"/>
                <w:sz w:val="18"/>
                <w:szCs w:val="18"/>
                <w:highlight w:val="none"/>
              </w:rPr>
              <w:t>00</w:t>
            </w:r>
          </w:p>
        </w:tc>
        <w:tc>
          <w:tcPr>
            <w:tcW w:w="1500" w:type="dxa"/>
            <w:tcBorders>
              <w:bottom w:val="single" w:color="auto" w:sz="4" w:space="0"/>
            </w:tcBorders>
          </w:tcPr>
          <w:p>
            <w:pPr>
              <w:spacing w:before="50" w:after="156"/>
              <w:jc w:val="center"/>
              <w:rPr>
                <w:color w:val="auto"/>
                <w:sz w:val="18"/>
                <w:szCs w:val="18"/>
                <w:highlight w:val="none"/>
              </w:rPr>
            </w:pPr>
            <w:r>
              <w:rPr>
                <w:rFonts w:hint="eastAsia"/>
                <w:color w:val="auto"/>
                <w:sz w:val="18"/>
                <w:szCs w:val="18"/>
                <w:highlight w:val="none"/>
              </w:rPr>
              <w:t>43</w:t>
            </w:r>
            <w:r>
              <w:rPr>
                <w:color w:val="auto"/>
                <w:sz w:val="18"/>
                <w:szCs w:val="18"/>
                <w:highlight w:val="none"/>
              </w:rPr>
              <w:t>0</w:t>
            </w:r>
          </w:p>
        </w:tc>
        <w:tc>
          <w:tcPr>
            <w:tcW w:w="1374" w:type="dxa"/>
            <w:tcBorders>
              <w:bottom w:val="single" w:color="auto" w:sz="4" w:space="0"/>
            </w:tcBorders>
          </w:tcPr>
          <w:p>
            <w:pPr>
              <w:spacing w:before="50" w:after="156"/>
              <w:jc w:val="center"/>
              <w:rPr>
                <w:color w:val="auto"/>
                <w:sz w:val="18"/>
                <w:szCs w:val="18"/>
                <w:highlight w:val="none"/>
              </w:rPr>
            </w:pPr>
            <w:r>
              <w:rPr>
                <w:rFonts w:hint="eastAsia"/>
                <w:color w:val="auto"/>
                <w:sz w:val="18"/>
                <w:szCs w:val="18"/>
                <w:highlight w:val="none"/>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21" w:type="dxa"/>
            <w:vMerge w:val="continue"/>
            <w:vAlign w:val="center"/>
          </w:tcPr>
          <w:p>
            <w:pPr>
              <w:pStyle w:val="14"/>
              <w:widowControl w:val="0"/>
              <w:numPr>
                <w:ilvl w:val="0"/>
                <w:numId w:val="0"/>
              </w:numPr>
              <w:spacing w:before="0" w:after="0" w:line="340" w:lineRule="exact"/>
              <w:jc w:val="center"/>
              <w:rPr>
                <w:rFonts w:ascii="Times New Roman"/>
                <w:color w:val="auto"/>
                <w:sz w:val="18"/>
                <w:szCs w:val="18"/>
                <w:highlight w:val="none"/>
              </w:rPr>
            </w:pPr>
          </w:p>
        </w:tc>
        <w:tc>
          <w:tcPr>
            <w:tcW w:w="1384" w:type="dxa"/>
            <w:tcBorders>
              <w:bottom w:val="single" w:color="auto" w:sz="4" w:space="0"/>
            </w:tcBorders>
          </w:tcPr>
          <w:p>
            <w:pPr>
              <w:spacing w:before="50" w:after="156"/>
              <w:jc w:val="center"/>
              <w:rPr>
                <w:color w:val="auto"/>
                <w:sz w:val="18"/>
                <w:szCs w:val="18"/>
                <w:highlight w:val="none"/>
              </w:rPr>
            </w:pPr>
            <w:r>
              <w:rPr>
                <w:color w:val="auto"/>
                <w:sz w:val="18"/>
                <w:szCs w:val="18"/>
                <w:highlight w:val="none"/>
              </w:rPr>
              <w:t>30&lt;t≤60</w:t>
            </w:r>
          </w:p>
        </w:tc>
        <w:tc>
          <w:tcPr>
            <w:tcW w:w="1429" w:type="dxa"/>
            <w:tcBorders>
              <w:bottom w:val="single" w:color="auto" w:sz="4" w:space="0"/>
            </w:tcBorders>
          </w:tcPr>
          <w:p>
            <w:pPr>
              <w:spacing w:before="50" w:after="156"/>
              <w:jc w:val="center"/>
              <w:rPr>
                <w:color w:val="auto"/>
                <w:sz w:val="18"/>
                <w:szCs w:val="18"/>
                <w:highlight w:val="none"/>
              </w:rPr>
            </w:pPr>
            <w:r>
              <w:rPr>
                <w:color w:val="auto"/>
                <w:sz w:val="18"/>
                <w:szCs w:val="18"/>
                <w:highlight w:val="none"/>
              </w:rPr>
              <w:t>700</w:t>
            </w:r>
          </w:p>
        </w:tc>
        <w:tc>
          <w:tcPr>
            <w:tcW w:w="1500" w:type="dxa"/>
            <w:tcBorders>
              <w:bottom w:val="single" w:color="auto" w:sz="4" w:space="0"/>
            </w:tcBorders>
          </w:tcPr>
          <w:p>
            <w:pPr>
              <w:spacing w:before="50" w:after="156"/>
              <w:jc w:val="center"/>
              <w:rPr>
                <w:color w:val="auto"/>
                <w:sz w:val="18"/>
                <w:szCs w:val="18"/>
                <w:highlight w:val="none"/>
              </w:rPr>
            </w:pPr>
            <w:r>
              <w:rPr>
                <w:rFonts w:hint="eastAsia"/>
                <w:color w:val="auto"/>
                <w:sz w:val="18"/>
                <w:szCs w:val="18"/>
                <w:highlight w:val="none"/>
              </w:rPr>
              <w:t>41</w:t>
            </w:r>
            <w:r>
              <w:rPr>
                <w:color w:val="auto"/>
                <w:sz w:val="18"/>
                <w:szCs w:val="18"/>
                <w:highlight w:val="none"/>
              </w:rPr>
              <w:t>0</w:t>
            </w:r>
          </w:p>
        </w:tc>
        <w:tc>
          <w:tcPr>
            <w:tcW w:w="1374" w:type="dxa"/>
            <w:tcBorders>
              <w:bottom w:val="single" w:color="auto" w:sz="4" w:space="0"/>
            </w:tcBorders>
          </w:tcPr>
          <w:p>
            <w:pPr>
              <w:spacing w:before="50" w:after="156"/>
              <w:jc w:val="center"/>
              <w:rPr>
                <w:color w:val="auto"/>
                <w:sz w:val="18"/>
                <w:szCs w:val="18"/>
                <w:highlight w:val="none"/>
              </w:rPr>
            </w:pPr>
            <w:r>
              <w:rPr>
                <w:rFonts w:hint="eastAsia"/>
                <w:color w:val="auto"/>
                <w:sz w:val="18"/>
                <w:szCs w:val="18"/>
                <w:highlight w:val="none"/>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21" w:type="dxa"/>
            <w:vMerge w:val="continue"/>
            <w:vAlign w:val="center"/>
          </w:tcPr>
          <w:p>
            <w:pPr>
              <w:pStyle w:val="14"/>
              <w:widowControl w:val="0"/>
              <w:numPr>
                <w:ilvl w:val="0"/>
                <w:numId w:val="0"/>
              </w:numPr>
              <w:spacing w:before="0" w:after="0" w:line="340" w:lineRule="exact"/>
              <w:jc w:val="center"/>
              <w:rPr>
                <w:rFonts w:ascii="Times New Roman"/>
                <w:color w:val="auto"/>
                <w:sz w:val="18"/>
                <w:szCs w:val="18"/>
                <w:highlight w:val="none"/>
              </w:rPr>
            </w:pPr>
          </w:p>
        </w:tc>
        <w:tc>
          <w:tcPr>
            <w:tcW w:w="1384" w:type="dxa"/>
            <w:tcBorders>
              <w:bottom w:val="single" w:color="auto" w:sz="4" w:space="0"/>
            </w:tcBorders>
          </w:tcPr>
          <w:p>
            <w:pPr>
              <w:spacing w:before="50" w:after="156"/>
              <w:jc w:val="center"/>
              <w:rPr>
                <w:color w:val="auto"/>
                <w:sz w:val="18"/>
                <w:szCs w:val="18"/>
                <w:highlight w:val="none"/>
              </w:rPr>
            </w:pPr>
            <w:r>
              <w:rPr>
                <w:color w:val="auto"/>
                <w:sz w:val="18"/>
                <w:szCs w:val="18"/>
                <w:highlight w:val="none"/>
              </w:rPr>
              <w:t>60&lt;t≤100</w:t>
            </w:r>
          </w:p>
        </w:tc>
        <w:tc>
          <w:tcPr>
            <w:tcW w:w="1429" w:type="dxa"/>
            <w:tcBorders>
              <w:bottom w:val="single" w:color="auto" w:sz="4" w:space="0"/>
            </w:tcBorders>
          </w:tcPr>
          <w:p>
            <w:pPr>
              <w:spacing w:before="50" w:after="156"/>
              <w:jc w:val="center"/>
              <w:rPr>
                <w:color w:val="auto"/>
                <w:sz w:val="18"/>
                <w:szCs w:val="18"/>
                <w:highlight w:val="none"/>
              </w:rPr>
            </w:pPr>
            <w:r>
              <w:rPr>
                <w:color w:val="auto"/>
                <w:sz w:val="18"/>
                <w:szCs w:val="18"/>
                <w:highlight w:val="none"/>
              </w:rPr>
              <w:t>660</w:t>
            </w:r>
          </w:p>
        </w:tc>
        <w:tc>
          <w:tcPr>
            <w:tcW w:w="1500" w:type="dxa"/>
            <w:tcBorders>
              <w:bottom w:val="single" w:color="auto" w:sz="4" w:space="0"/>
            </w:tcBorders>
          </w:tcPr>
          <w:p>
            <w:pPr>
              <w:spacing w:before="50" w:after="156"/>
              <w:jc w:val="center"/>
              <w:rPr>
                <w:color w:val="auto"/>
                <w:sz w:val="18"/>
                <w:szCs w:val="18"/>
                <w:highlight w:val="none"/>
              </w:rPr>
            </w:pPr>
            <w:r>
              <w:rPr>
                <w:color w:val="auto"/>
                <w:sz w:val="18"/>
                <w:szCs w:val="18"/>
                <w:highlight w:val="none"/>
              </w:rPr>
              <w:t>3</w:t>
            </w:r>
            <w:r>
              <w:rPr>
                <w:rFonts w:hint="eastAsia"/>
                <w:color w:val="auto"/>
                <w:sz w:val="18"/>
                <w:szCs w:val="18"/>
                <w:highlight w:val="none"/>
              </w:rPr>
              <w:t>9</w:t>
            </w:r>
            <w:r>
              <w:rPr>
                <w:color w:val="auto"/>
                <w:sz w:val="18"/>
                <w:szCs w:val="18"/>
                <w:highlight w:val="none"/>
              </w:rPr>
              <w:t>0</w:t>
            </w:r>
          </w:p>
        </w:tc>
        <w:tc>
          <w:tcPr>
            <w:tcW w:w="1374" w:type="dxa"/>
            <w:tcBorders>
              <w:bottom w:val="single" w:color="auto" w:sz="4" w:space="0"/>
            </w:tcBorders>
          </w:tcPr>
          <w:p>
            <w:pPr>
              <w:spacing w:before="50" w:after="156"/>
              <w:jc w:val="center"/>
              <w:rPr>
                <w:color w:val="auto"/>
                <w:sz w:val="18"/>
                <w:szCs w:val="18"/>
                <w:highlight w:val="none"/>
              </w:rPr>
            </w:pPr>
            <w:r>
              <w:rPr>
                <w:rFonts w:hint="eastAsia"/>
                <w:color w:val="auto"/>
                <w:sz w:val="18"/>
                <w:szCs w:val="18"/>
                <w:highlight w:val="none"/>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1021" w:type="dxa"/>
            <w:vMerge w:val="restart"/>
            <w:tcBorders>
              <w:right w:val="single" w:color="auto" w:sz="4" w:space="0"/>
            </w:tcBorders>
          </w:tcPr>
          <w:p>
            <w:pPr>
              <w:pStyle w:val="14"/>
              <w:widowControl w:val="0"/>
              <w:numPr>
                <w:ilvl w:val="0"/>
                <w:numId w:val="0"/>
              </w:numPr>
              <w:spacing w:after="0" w:line="340" w:lineRule="exact"/>
              <w:jc w:val="center"/>
              <w:rPr>
                <w:rFonts w:ascii="Times New Roman"/>
                <w:color w:val="auto"/>
                <w:sz w:val="18"/>
                <w:szCs w:val="18"/>
                <w:highlight w:val="none"/>
              </w:rPr>
            </w:pPr>
          </w:p>
          <w:p>
            <w:pPr>
              <w:pStyle w:val="14"/>
              <w:widowControl w:val="0"/>
              <w:numPr>
                <w:ilvl w:val="0"/>
                <w:numId w:val="0"/>
              </w:numPr>
              <w:spacing w:after="0" w:line="340" w:lineRule="exact"/>
              <w:jc w:val="center"/>
              <w:rPr>
                <w:rFonts w:ascii="Times New Roman"/>
                <w:color w:val="auto"/>
                <w:sz w:val="18"/>
                <w:szCs w:val="18"/>
                <w:highlight w:val="none"/>
              </w:rPr>
            </w:pPr>
            <w:r>
              <w:rPr>
                <w:rFonts w:hint="eastAsia" w:ascii="Times New Roman"/>
                <w:color w:val="auto"/>
                <w:sz w:val="18"/>
                <w:szCs w:val="18"/>
                <w:highlight w:val="none"/>
              </w:rPr>
              <w:t>Q</w:t>
            </w:r>
            <w:r>
              <w:rPr>
                <w:rFonts w:ascii="Times New Roman"/>
                <w:color w:val="auto"/>
                <w:sz w:val="18"/>
                <w:szCs w:val="18"/>
                <w:highlight w:val="none"/>
              </w:rPr>
              <w:t>T700-10</w:t>
            </w:r>
          </w:p>
        </w:tc>
        <w:tc>
          <w:tcPr>
            <w:tcW w:w="1384" w:type="dxa"/>
            <w:tcBorders>
              <w:top w:val="single" w:color="auto" w:sz="4" w:space="0"/>
              <w:left w:val="single" w:color="auto" w:sz="4" w:space="0"/>
              <w:bottom w:val="single" w:color="auto" w:sz="4" w:space="0"/>
              <w:right w:val="single" w:color="auto" w:sz="4" w:space="0"/>
            </w:tcBorders>
          </w:tcPr>
          <w:p>
            <w:pPr>
              <w:spacing w:before="50" w:after="156"/>
              <w:jc w:val="center"/>
              <w:rPr>
                <w:color w:val="auto"/>
                <w:sz w:val="18"/>
                <w:szCs w:val="18"/>
                <w:highlight w:val="none"/>
              </w:rPr>
            </w:pPr>
            <w:r>
              <w:rPr>
                <w:color w:val="auto"/>
                <w:sz w:val="18"/>
                <w:szCs w:val="18"/>
                <w:highlight w:val="none"/>
              </w:rPr>
              <w:t>t≤30</w:t>
            </w:r>
          </w:p>
        </w:tc>
        <w:tc>
          <w:tcPr>
            <w:tcW w:w="1429" w:type="dxa"/>
            <w:tcBorders>
              <w:top w:val="single" w:color="auto" w:sz="4" w:space="0"/>
              <w:left w:val="single" w:color="auto" w:sz="4" w:space="0"/>
              <w:bottom w:val="single" w:color="auto" w:sz="4" w:space="0"/>
              <w:right w:val="single" w:color="auto" w:sz="4" w:space="0"/>
            </w:tcBorders>
          </w:tcPr>
          <w:p>
            <w:pPr>
              <w:spacing w:before="50" w:after="156"/>
              <w:jc w:val="center"/>
              <w:rPr>
                <w:color w:val="auto"/>
                <w:sz w:val="18"/>
                <w:szCs w:val="18"/>
                <w:highlight w:val="none"/>
              </w:rPr>
            </w:pPr>
            <w:r>
              <w:rPr>
                <w:rFonts w:hint="eastAsia"/>
                <w:color w:val="auto"/>
                <w:sz w:val="18"/>
                <w:szCs w:val="18"/>
                <w:highlight w:val="none"/>
              </w:rPr>
              <w:t>7</w:t>
            </w:r>
            <w:r>
              <w:rPr>
                <w:color w:val="auto"/>
                <w:sz w:val="18"/>
                <w:szCs w:val="18"/>
                <w:highlight w:val="none"/>
              </w:rPr>
              <w:t>00</w:t>
            </w:r>
          </w:p>
        </w:tc>
        <w:tc>
          <w:tcPr>
            <w:tcW w:w="1500" w:type="dxa"/>
            <w:tcBorders>
              <w:top w:val="single" w:color="auto" w:sz="4" w:space="0"/>
              <w:left w:val="single" w:color="auto" w:sz="4" w:space="0"/>
              <w:bottom w:val="single" w:color="auto" w:sz="4" w:space="0"/>
              <w:right w:val="single" w:color="auto" w:sz="4" w:space="0"/>
            </w:tcBorders>
          </w:tcPr>
          <w:p>
            <w:pPr>
              <w:spacing w:before="50" w:after="156"/>
              <w:jc w:val="center"/>
              <w:rPr>
                <w:color w:val="auto"/>
                <w:sz w:val="18"/>
                <w:szCs w:val="18"/>
                <w:highlight w:val="none"/>
              </w:rPr>
            </w:pPr>
            <w:r>
              <w:rPr>
                <w:rFonts w:hint="eastAsia"/>
                <w:color w:val="auto"/>
                <w:sz w:val="18"/>
                <w:szCs w:val="18"/>
                <w:highlight w:val="none"/>
              </w:rPr>
              <w:t>4</w:t>
            </w:r>
            <w:r>
              <w:rPr>
                <w:color w:val="auto"/>
                <w:sz w:val="18"/>
                <w:szCs w:val="18"/>
                <w:highlight w:val="none"/>
              </w:rPr>
              <w:t>20</w:t>
            </w:r>
          </w:p>
        </w:tc>
        <w:tc>
          <w:tcPr>
            <w:tcW w:w="1374" w:type="dxa"/>
            <w:tcBorders>
              <w:top w:val="single" w:color="auto" w:sz="4" w:space="0"/>
              <w:left w:val="single" w:color="auto" w:sz="4" w:space="0"/>
              <w:bottom w:val="single" w:color="auto" w:sz="4" w:space="0"/>
              <w:right w:val="single" w:color="auto" w:sz="4" w:space="0"/>
            </w:tcBorders>
          </w:tcPr>
          <w:p>
            <w:pPr>
              <w:spacing w:before="50" w:after="156"/>
              <w:jc w:val="center"/>
              <w:rPr>
                <w:color w:val="auto"/>
                <w:sz w:val="18"/>
                <w:szCs w:val="18"/>
                <w:highlight w:val="none"/>
              </w:rPr>
            </w:pPr>
            <w:r>
              <w:rPr>
                <w:rFonts w:hint="eastAsia"/>
                <w:color w:val="auto"/>
                <w:sz w:val="18"/>
                <w:szCs w:val="18"/>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21" w:type="dxa"/>
            <w:vMerge w:val="continue"/>
            <w:tcBorders>
              <w:right w:val="single" w:color="auto" w:sz="4" w:space="0"/>
            </w:tcBorders>
          </w:tcPr>
          <w:p>
            <w:pPr>
              <w:pStyle w:val="14"/>
              <w:widowControl w:val="0"/>
              <w:numPr>
                <w:ilvl w:val="0"/>
                <w:numId w:val="0"/>
              </w:numPr>
              <w:spacing w:after="0" w:line="340" w:lineRule="exact"/>
              <w:jc w:val="center"/>
              <w:rPr>
                <w:rFonts w:ascii="Times New Roman"/>
                <w:color w:val="auto"/>
                <w:sz w:val="18"/>
                <w:szCs w:val="18"/>
                <w:highlight w:val="none"/>
              </w:rPr>
            </w:pPr>
          </w:p>
        </w:tc>
        <w:tc>
          <w:tcPr>
            <w:tcW w:w="1384" w:type="dxa"/>
            <w:tcBorders>
              <w:top w:val="single" w:color="auto" w:sz="4" w:space="0"/>
              <w:left w:val="single" w:color="auto" w:sz="4" w:space="0"/>
              <w:bottom w:val="single" w:color="auto" w:sz="4" w:space="0"/>
              <w:right w:val="single" w:color="auto" w:sz="4" w:space="0"/>
            </w:tcBorders>
          </w:tcPr>
          <w:p>
            <w:pPr>
              <w:spacing w:before="50" w:after="156"/>
              <w:jc w:val="center"/>
              <w:rPr>
                <w:color w:val="auto"/>
                <w:sz w:val="18"/>
                <w:szCs w:val="18"/>
                <w:highlight w:val="none"/>
              </w:rPr>
            </w:pPr>
            <w:r>
              <w:rPr>
                <w:color w:val="auto"/>
                <w:sz w:val="18"/>
                <w:szCs w:val="18"/>
                <w:highlight w:val="none"/>
              </w:rPr>
              <w:t>30&lt;t≤60</w:t>
            </w:r>
          </w:p>
        </w:tc>
        <w:tc>
          <w:tcPr>
            <w:tcW w:w="1429" w:type="dxa"/>
            <w:tcBorders>
              <w:top w:val="single" w:color="auto" w:sz="4" w:space="0"/>
              <w:left w:val="single" w:color="auto" w:sz="4" w:space="0"/>
              <w:bottom w:val="single" w:color="auto" w:sz="4" w:space="0"/>
              <w:right w:val="single" w:color="auto" w:sz="4" w:space="0"/>
            </w:tcBorders>
          </w:tcPr>
          <w:p>
            <w:pPr>
              <w:spacing w:before="50" w:after="156"/>
              <w:jc w:val="center"/>
              <w:rPr>
                <w:color w:val="auto"/>
                <w:sz w:val="18"/>
                <w:szCs w:val="18"/>
                <w:highlight w:val="none"/>
              </w:rPr>
            </w:pPr>
            <w:r>
              <w:rPr>
                <w:color w:val="auto"/>
                <w:sz w:val="18"/>
                <w:szCs w:val="18"/>
                <w:highlight w:val="none"/>
              </w:rPr>
              <w:t>700</w:t>
            </w:r>
          </w:p>
        </w:tc>
        <w:tc>
          <w:tcPr>
            <w:tcW w:w="1500" w:type="dxa"/>
            <w:tcBorders>
              <w:top w:val="single" w:color="auto" w:sz="4" w:space="0"/>
              <w:left w:val="single" w:color="auto" w:sz="4" w:space="0"/>
              <w:bottom w:val="single" w:color="auto" w:sz="4" w:space="0"/>
              <w:right w:val="single" w:color="auto" w:sz="4" w:space="0"/>
            </w:tcBorders>
          </w:tcPr>
          <w:p>
            <w:pPr>
              <w:spacing w:before="50" w:after="156"/>
              <w:jc w:val="center"/>
              <w:rPr>
                <w:color w:val="auto"/>
                <w:sz w:val="18"/>
                <w:szCs w:val="18"/>
                <w:highlight w:val="none"/>
              </w:rPr>
            </w:pPr>
            <w:r>
              <w:rPr>
                <w:rFonts w:hint="eastAsia"/>
                <w:color w:val="auto"/>
                <w:sz w:val="18"/>
                <w:szCs w:val="18"/>
                <w:highlight w:val="none"/>
              </w:rPr>
              <w:t>4</w:t>
            </w:r>
            <w:r>
              <w:rPr>
                <w:color w:val="auto"/>
                <w:sz w:val="18"/>
                <w:szCs w:val="18"/>
                <w:highlight w:val="none"/>
              </w:rPr>
              <w:t>00</w:t>
            </w:r>
          </w:p>
        </w:tc>
        <w:tc>
          <w:tcPr>
            <w:tcW w:w="1374" w:type="dxa"/>
            <w:tcBorders>
              <w:top w:val="single" w:color="auto" w:sz="4" w:space="0"/>
              <w:left w:val="single" w:color="auto" w:sz="4" w:space="0"/>
              <w:bottom w:val="single" w:color="auto" w:sz="4" w:space="0"/>
              <w:right w:val="single" w:color="auto" w:sz="4" w:space="0"/>
            </w:tcBorders>
          </w:tcPr>
          <w:p>
            <w:pPr>
              <w:spacing w:before="50" w:after="156"/>
              <w:jc w:val="center"/>
              <w:rPr>
                <w:color w:val="auto"/>
                <w:sz w:val="18"/>
                <w:szCs w:val="18"/>
                <w:highlight w:val="none"/>
              </w:rPr>
            </w:pPr>
            <w:r>
              <w:rPr>
                <w:rFonts w:hint="eastAsia"/>
                <w:color w:val="auto"/>
                <w:sz w:val="18"/>
                <w:szCs w:val="18"/>
                <w:highlight w:val="none"/>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21" w:type="dxa"/>
            <w:vMerge w:val="continue"/>
            <w:tcBorders>
              <w:right w:val="single" w:color="auto" w:sz="4" w:space="0"/>
            </w:tcBorders>
          </w:tcPr>
          <w:p>
            <w:pPr>
              <w:pStyle w:val="14"/>
              <w:widowControl w:val="0"/>
              <w:numPr>
                <w:ilvl w:val="0"/>
                <w:numId w:val="0"/>
              </w:numPr>
              <w:spacing w:after="0" w:line="340" w:lineRule="exact"/>
              <w:jc w:val="center"/>
              <w:rPr>
                <w:rFonts w:ascii="Times New Roman"/>
                <w:color w:val="auto"/>
                <w:sz w:val="18"/>
                <w:szCs w:val="18"/>
                <w:highlight w:val="none"/>
              </w:rPr>
            </w:pPr>
          </w:p>
        </w:tc>
        <w:tc>
          <w:tcPr>
            <w:tcW w:w="1384" w:type="dxa"/>
            <w:tcBorders>
              <w:top w:val="single" w:color="auto" w:sz="4" w:space="0"/>
              <w:left w:val="single" w:color="auto" w:sz="4" w:space="0"/>
              <w:bottom w:val="single" w:color="auto" w:sz="4" w:space="0"/>
              <w:right w:val="single" w:color="auto" w:sz="4" w:space="0"/>
            </w:tcBorders>
          </w:tcPr>
          <w:p>
            <w:pPr>
              <w:spacing w:before="50" w:after="156"/>
              <w:jc w:val="center"/>
              <w:rPr>
                <w:color w:val="auto"/>
                <w:sz w:val="18"/>
                <w:szCs w:val="18"/>
                <w:highlight w:val="none"/>
              </w:rPr>
            </w:pPr>
            <w:r>
              <w:rPr>
                <w:color w:val="auto"/>
                <w:sz w:val="18"/>
                <w:szCs w:val="18"/>
                <w:highlight w:val="none"/>
              </w:rPr>
              <w:t>60&lt;t≤100</w:t>
            </w:r>
          </w:p>
        </w:tc>
        <w:tc>
          <w:tcPr>
            <w:tcW w:w="1429" w:type="dxa"/>
            <w:tcBorders>
              <w:top w:val="single" w:color="auto" w:sz="4" w:space="0"/>
              <w:left w:val="single" w:color="auto" w:sz="4" w:space="0"/>
              <w:bottom w:val="single" w:color="auto" w:sz="4" w:space="0"/>
              <w:right w:val="single" w:color="auto" w:sz="4" w:space="0"/>
            </w:tcBorders>
          </w:tcPr>
          <w:p>
            <w:pPr>
              <w:spacing w:before="50" w:after="156"/>
              <w:jc w:val="center"/>
              <w:rPr>
                <w:color w:val="auto"/>
                <w:sz w:val="18"/>
                <w:szCs w:val="18"/>
                <w:highlight w:val="none"/>
              </w:rPr>
            </w:pPr>
            <w:r>
              <w:rPr>
                <w:color w:val="auto"/>
                <w:sz w:val="18"/>
                <w:szCs w:val="18"/>
                <w:highlight w:val="none"/>
              </w:rPr>
              <w:t>660</w:t>
            </w:r>
          </w:p>
        </w:tc>
        <w:tc>
          <w:tcPr>
            <w:tcW w:w="1500" w:type="dxa"/>
            <w:tcBorders>
              <w:top w:val="single" w:color="auto" w:sz="4" w:space="0"/>
              <w:left w:val="single" w:color="auto" w:sz="4" w:space="0"/>
              <w:bottom w:val="single" w:color="auto" w:sz="4" w:space="0"/>
              <w:right w:val="single" w:color="auto" w:sz="4" w:space="0"/>
            </w:tcBorders>
          </w:tcPr>
          <w:p>
            <w:pPr>
              <w:spacing w:before="50" w:after="156"/>
              <w:jc w:val="center"/>
              <w:rPr>
                <w:color w:val="auto"/>
                <w:sz w:val="18"/>
                <w:szCs w:val="18"/>
                <w:highlight w:val="none"/>
              </w:rPr>
            </w:pPr>
            <w:r>
              <w:rPr>
                <w:color w:val="auto"/>
                <w:sz w:val="18"/>
                <w:szCs w:val="18"/>
                <w:highlight w:val="none"/>
              </w:rPr>
              <w:t>380</w:t>
            </w:r>
          </w:p>
        </w:tc>
        <w:tc>
          <w:tcPr>
            <w:tcW w:w="1374" w:type="dxa"/>
            <w:tcBorders>
              <w:top w:val="single" w:color="auto" w:sz="4" w:space="0"/>
              <w:left w:val="single" w:color="auto" w:sz="4" w:space="0"/>
              <w:bottom w:val="single" w:color="auto" w:sz="4" w:space="0"/>
              <w:right w:val="single" w:color="auto" w:sz="4" w:space="0"/>
            </w:tcBorders>
          </w:tcPr>
          <w:p>
            <w:pPr>
              <w:spacing w:before="50" w:after="156"/>
              <w:jc w:val="center"/>
              <w:rPr>
                <w:color w:val="auto"/>
                <w:sz w:val="18"/>
                <w:szCs w:val="18"/>
                <w:highlight w:val="none"/>
              </w:rPr>
            </w:pPr>
            <w:r>
              <w:rPr>
                <w:rFonts w:hint="eastAsia"/>
                <w:color w:val="auto"/>
                <w:sz w:val="18"/>
                <w:szCs w:val="18"/>
                <w:highlight w:val="none"/>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1021" w:type="dxa"/>
            <w:vMerge w:val="restart"/>
          </w:tcPr>
          <w:p>
            <w:pPr>
              <w:pStyle w:val="14"/>
              <w:widowControl w:val="0"/>
              <w:numPr>
                <w:ilvl w:val="0"/>
                <w:numId w:val="0"/>
              </w:numPr>
              <w:spacing w:before="0" w:after="0" w:line="340" w:lineRule="exact"/>
              <w:jc w:val="center"/>
              <w:rPr>
                <w:rFonts w:ascii="Times New Roman"/>
                <w:color w:val="auto"/>
                <w:sz w:val="18"/>
                <w:szCs w:val="18"/>
                <w:highlight w:val="none"/>
              </w:rPr>
            </w:pPr>
          </w:p>
          <w:p>
            <w:pPr>
              <w:pStyle w:val="14"/>
              <w:widowControl w:val="0"/>
              <w:numPr>
                <w:ilvl w:val="0"/>
                <w:numId w:val="0"/>
              </w:numPr>
              <w:spacing w:before="0" w:after="0" w:line="340" w:lineRule="exact"/>
              <w:jc w:val="center"/>
              <w:rPr>
                <w:rFonts w:ascii="Times New Roman"/>
                <w:color w:val="auto"/>
                <w:sz w:val="18"/>
                <w:szCs w:val="18"/>
                <w:highlight w:val="none"/>
              </w:rPr>
            </w:pPr>
          </w:p>
          <w:p>
            <w:pPr>
              <w:pStyle w:val="14"/>
              <w:widowControl w:val="0"/>
              <w:numPr>
                <w:ilvl w:val="0"/>
                <w:numId w:val="0"/>
              </w:numPr>
              <w:spacing w:before="0" w:after="0" w:line="340" w:lineRule="exact"/>
              <w:jc w:val="center"/>
              <w:rPr>
                <w:rFonts w:ascii="Times New Roman"/>
                <w:color w:val="auto"/>
                <w:sz w:val="18"/>
                <w:szCs w:val="18"/>
                <w:highlight w:val="none"/>
              </w:rPr>
            </w:pPr>
            <w:r>
              <w:rPr>
                <w:rFonts w:hint="eastAsia" w:ascii="Times New Roman"/>
                <w:color w:val="auto"/>
                <w:sz w:val="18"/>
                <w:szCs w:val="18"/>
                <w:highlight w:val="none"/>
              </w:rPr>
              <w:t>Q</w:t>
            </w:r>
            <w:r>
              <w:rPr>
                <w:rFonts w:ascii="Times New Roman"/>
                <w:color w:val="auto"/>
                <w:sz w:val="18"/>
                <w:szCs w:val="18"/>
                <w:highlight w:val="none"/>
              </w:rPr>
              <w:t>T800-5</w:t>
            </w:r>
          </w:p>
        </w:tc>
        <w:tc>
          <w:tcPr>
            <w:tcW w:w="1384" w:type="dxa"/>
            <w:tcBorders>
              <w:top w:val="single" w:color="auto" w:sz="4" w:space="0"/>
            </w:tcBorders>
          </w:tcPr>
          <w:p>
            <w:pPr>
              <w:spacing w:before="50" w:after="156"/>
              <w:jc w:val="center"/>
              <w:rPr>
                <w:color w:val="auto"/>
                <w:sz w:val="18"/>
                <w:szCs w:val="18"/>
                <w:highlight w:val="none"/>
              </w:rPr>
            </w:pPr>
            <w:r>
              <w:rPr>
                <w:color w:val="auto"/>
                <w:sz w:val="18"/>
                <w:szCs w:val="18"/>
                <w:highlight w:val="none"/>
              </w:rPr>
              <w:t>t≤30</w:t>
            </w:r>
          </w:p>
        </w:tc>
        <w:tc>
          <w:tcPr>
            <w:tcW w:w="1429" w:type="dxa"/>
            <w:tcBorders>
              <w:top w:val="single" w:color="auto" w:sz="4" w:space="0"/>
            </w:tcBorders>
          </w:tcPr>
          <w:p>
            <w:pPr>
              <w:spacing w:before="50" w:after="156"/>
              <w:jc w:val="center"/>
              <w:rPr>
                <w:color w:val="auto"/>
                <w:sz w:val="18"/>
                <w:szCs w:val="18"/>
                <w:highlight w:val="none"/>
              </w:rPr>
            </w:pPr>
            <w:r>
              <w:rPr>
                <w:rFonts w:hint="eastAsia"/>
                <w:color w:val="auto"/>
                <w:sz w:val="18"/>
                <w:szCs w:val="18"/>
                <w:highlight w:val="none"/>
              </w:rPr>
              <w:t>8</w:t>
            </w:r>
            <w:r>
              <w:rPr>
                <w:color w:val="auto"/>
                <w:sz w:val="18"/>
                <w:szCs w:val="18"/>
                <w:highlight w:val="none"/>
              </w:rPr>
              <w:t>00</w:t>
            </w:r>
          </w:p>
        </w:tc>
        <w:tc>
          <w:tcPr>
            <w:tcW w:w="1500" w:type="dxa"/>
            <w:tcBorders>
              <w:top w:val="single" w:color="auto" w:sz="4" w:space="0"/>
            </w:tcBorders>
          </w:tcPr>
          <w:p>
            <w:pPr>
              <w:spacing w:before="50" w:after="156"/>
              <w:jc w:val="center"/>
              <w:rPr>
                <w:color w:val="auto"/>
                <w:sz w:val="18"/>
                <w:szCs w:val="18"/>
                <w:highlight w:val="none"/>
              </w:rPr>
            </w:pPr>
            <w:r>
              <w:rPr>
                <w:rFonts w:hint="eastAsia"/>
                <w:color w:val="auto"/>
                <w:sz w:val="18"/>
                <w:szCs w:val="18"/>
                <w:highlight w:val="none"/>
              </w:rPr>
              <w:t>4</w:t>
            </w:r>
            <w:r>
              <w:rPr>
                <w:color w:val="auto"/>
                <w:sz w:val="18"/>
                <w:szCs w:val="18"/>
                <w:highlight w:val="none"/>
              </w:rPr>
              <w:t>80</w:t>
            </w:r>
          </w:p>
        </w:tc>
        <w:tc>
          <w:tcPr>
            <w:tcW w:w="1374" w:type="dxa"/>
            <w:tcBorders>
              <w:top w:val="single" w:color="auto" w:sz="4" w:space="0"/>
            </w:tcBorders>
          </w:tcPr>
          <w:p>
            <w:pPr>
              <w:spacing w:before="50" w:after="156"/>
              <w:jc w:val="center"/>
              <w:rPr>
                <w:color w:val="auto"/>
                <w:sz w:val="18"/>
                <w:szCs w:val="18"/>
                <w:highlight w:val="none"/>
              </w:rPr>
            </w:pPr>
            <w:r>
              <w:rPr>
                <w:rFonts w:hint="eastAsia"/>
                <w:color w:val="auto"/>
                <w:sz w:val="18"/>
                <w:szCs w:val="18"/>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1021" w:type="dxa"/>
            <w:vMerge w:val="continue"/>
          </w:tcPr>
          <w:p>
            <w:pPr>
              <w:pStyle w:val="14"/>
              <w:widowControl w:val="0"/>
              <w:numPr>
                <w:ilvl w:val="0"/>
                <w:numId w:val="0"/>
              </w:numPr>
              <w:spacing w:before="0" w:after="0" w:line="340" w:lineRule="exact"/>
              <w:jc w:val="center"/>
              <w:rPr>
                <w:rFonts w:ascii="Times New Roman"/>
                <w:color w:val="auto"/>
                <w:sz w:val="18"/>
                <w:szCs w:val="18"/>
                <w:highlight w:val="none"/>
              </w:rPr>
            </w:pPr>
          </w:p>
        </w:tc>
        <w:tc>
          <w:tcPr>
            <w:tcW w:w="1384" w:type="dxa"/>
            <w:tcBorders>
              <w:top w:val="single" w:color="auto" w:sz="4" w:space="0"/>
            </w:tcBorders>
          </w:tcPr>
          <w:p>
            <w:pPr>
              <w:spacing w:before="50" w:after="156"/>
              <w:jc w:val="center"/>
              <w:rPr>
                <w:color w:val="auto"/>
                <w:sz w:val="18"/>
                <w:szCs w:val="18"/>
                <w:highlight w:val="none"/>
              </w:rPr>
            </w:pPr>
            <w:r>
              <w:rPr>
                <w:color w:val="auto"/>
                <w:sz w:val="18"/>
                <w:szCs w:val="18"/>
                <w:highlight w:val="none"/>
              </w:rPr>
              <w:t>30&lt;t≤60</w:t>
            </w:r>
          </w:p>
        </w:tc>
        <w:tc>
          <w:tcPr>
            <w:tcW w:w="1429" w:type="dxa"/>
            <w:tcBorders>
              <w:top w:val="single" w:color="auto" w:sz="4" w:space="0"/>
            </w:tcBorders>
          </w:tcPr>
          <w:p>
            <w:pPr>
              <w:spacing w:before="50" w:after="156"/>
              <w:jc w:val="center"/>
              <w:rPr>
                <w:color w:val="auto"/>
                <w:sz w:val="18"/>
                <w:szCs w:val="18"/>
                <w:highlight w:val="none"/>
              </w:rPr>
            </w:pPr>
            <w:r>
              <w:rPr>
                <w:color w:val="auto"/>
                <w:sz w:val="18"/>
                <w:szCs w:val="18"/>
                <w:highlight w:val="none"/>
              </w:rPr>
              <w:t>800</w:t>
            </w:r>
          </w:p>
        </w:tc>
        <w:tc>
          <w:tcPr>
            <w:tcW w:w="1500" w:type="dxa"/>
            <w:tcBorders>
              <w:top w:val="single" w:color="auto" w:sz="4" w:space="0"/>
            </w:tcBorders>
          </w:tcPr>
          <w:p>
            <w:pPr>
              <w:spacing w:before="50" w:after="156"/>
              <w:jc w:val="center"/>
              <w:rPr>
                <w:color w:val="auto"/>
                <w:sz w:val="18"/>
                <w:szCs w:val="18"/>
                <w:highlight w:val="none"/>
              </w:rPr>
            </w:pPr>
            <w:r>
              <w:rPr>
                <w:rFonts w:hint="eastAsia"/>
                <w:color w:val="auto"/>
                <w:sz w:val="18"/>
                <w:szCs w:val="18"/>
                <w:highlight w:val="none"/>
              </w:rPr>
              <w:t>4</w:t>
            </w:r>
            <w:r>
              <w:rPr>
                <w:color w:val="auto"/>
                <w:sz w:val="18"/>
                <w:szCs w:val="18"/>
                <w:highlight w:val="none"/>
              </w:rPr>
              <w:t>80</w:t>
            </w:r>
          </w:p>
        </w:tc>
        <w:tc>
          <w:tcPr>
            <w:tcW w:w="1374" w:type="dxa"/>
            <w:tcBorders>
              <w:top w:val="single" w:color="auto" w:sz="4" w:space="0"/>
            </w:tcBorders>
          </w:tcPr>
          <w:p>
            <w:pPr>
              <w:spacing w:before="50" w:after="156"/>
              <w:jc w:val="center"/>
              <w:rPr>
                <w:color w:val="auto"/>
                <w:sz w:val="18"/>
                <w:szCs w:val="18"/>
                <w:highlight w:val="none"/>
              </w:rPr>
            </w:pPr>
            <w:r>
              <w:rPr>
                <w:rFonts w:hint="eastAsia"/>
                <w:color w:val="auto"/>
                <w:sz w:val="18"/>
                <w:szCs w:val="18"/>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1" w:type="dxa"/>
            <w:vMerge w:val="continue"/>
          </w:tcPr>
          <w:p>
            <w:pPr>
              <w:pStyle w:val="14"/>
              <w:widowControl w:val="0"/>
              <w:numPr>
                <w:ilvl w:val="0"/>
                <w:numId w:val="0"/>
              </w:numPr>
              <w:spacing w:before="0" w:after="0" w:line="340" w:lineRule="exact"/>
              <w:jc w:val="center"/>
              <w:rPr>
                <w:rFonts w:ascii="Times New Roman"/>
                <w:color w:val="auto"/>
                <w:sz w:val="18"/>
                <w:szCs w:val="18"/>
                <w:highlight w:val="none"/>
              </w:rPr>
            </w:pPr>
          </w:p>
        </w:tc>
        <w:tc>
          <w:tcPr>
            <w:tcW w:w="1384" w:type="dxa"/>
            <w:tcBorders>
              <w:top w:val="single" w:color="auto" w:sz="4" w:space="0"/>
            </w:tcBorders>
          </w:tcPr>
          <w:p>
            <w:pPr>
              <w:spacing w:before="50" w:after="156"/>
              <w:jc w:val="center"/>
              <w:rPr>
                <w:color w:val="auto"/>
                <w:sz w:val="18"/>
                <w:szCs w:val="18"/>
                <w:highlight w:val="none"/>
              </w:rPr>
            </w:pPr>
            <w:r>
              <w:rPr>
                <w:color w:val="auto"/>
                <w:sz w:val="18"/>
                <w:szCs w:val="18"/>
                <w:highlight w:val="none"/>
              </w:rPr>
              <w:t>60&lt;t≤100</w:t>
            </w:r>
          </w:p>
        </w:tc>
        <w:tc>
          <w:tcPr>
            <w:tcW w:w="1429" w:type="dxa"/>
            <w:tcBorders>
              <w:top w:val="single" w:color="auto" w:sz="4" w:space="0"/>
            </w:tcBorders>
          </w:tcPr>
          <w:p>
            <w:pPr>
              <w:spacing w:before="50" w:after="156"/>
              <w:jc w:val="center"/>
              <w:rPr>
                <w:color w:val="auto"/>
                <w:sz w:val="18"/>
                <w:szCs w:val="18"/>
                <w:highlight w:val="none"/>
              </w:rPr>
            </w:pPr>
            <w:r>
              <w:rPr>
                <w:rFonts w:hint="eastAsia"/>
                <w:color w:val="auto"/>
                <w:sz w:val="18"/>
                <w:szCs w:val="18"/>
                <w:highlight w:val="none"/>
              </w:rPr>
              <w:t>7</w:t>
            </w:r>
            <w:r>
              <w:rPr>
                <w:color w:val="auto"/>
                <w:sz w:val="18"/>
                <w:szCs w:val="18"/>
                <w:highlight w:val="none"/>
              </w:rPr>
              <w:t>80</w:t>
            </w:r>
          </w:p>
        </w:tc>
        <w:tc>
          <w:tcPr>
            <w:tcW w:w="1500" w:type="dxa"/>
            <w:tcBorders>
              <w:top w:val="single" w:color="auto" w:sz="4" w:space="0"/>
            </w:tcBorders>
          </w:tcPr>
          <w:p>
            <w:pPr>
              <w:spacing w:before="50" w:after="156"/>
              <w:jc w:val="center"/>
              <w:rPr>
                <w:color w:val="auto"/>
                <w:sz w:val="18"/>
                <w:szCs w:val="18"/>
                <w:highlight w:val="none"/>
              </w:rPr>
            </w:pPr>
            <w:r>
              <w:rPr>
                <w:rFonts w:hint="eastAsia"/>
                <w:color w:val="auto"/>
                <w:sz w:val="18"/>
                <w:szCs w:val="18"/>
                <w:highlight w:val="none"/>
              </w:rPr>
              <w:t>4</w:t>
            </w:r>
            <w:r>
              <w:rPr>
                <w:color w:val="auto"/>
                <w:sz w:val="18"/>
                <w:szCs w:val="18"/>
                <w:highlight w:val="none"/>
              </w:rPr>
              <w:t>50</w:t>
            </w:r>
          </w:p>
        </w:tc>
        <w:tc>
          <w:tcPr>
            <w:tcW w:w="1374" w:type="dxa"/>
            <w:tcBorders>
              <w:top w:val="single" w:color="auto" w:sz="4" w:space="0"/>
            </w:tcBorders>
          </w:tcPr>
          <w:p>
            <w:pPr>
              <w:spacing w:before="50" w:after="156"/>
              <w:jc w:val="center"/>
              <w:rPr>
                <w:color w:val="auto"/>
                <w:sz w:val="18"/>
                <w:szCs w:val="18"/>
                <w:highlight w:val="none"/>
              </w:rPr>
            </w:pPr>
            <w:r>
              <w:rPr>
                <w:rFonts w:hint="eastAsia"/>
                <w:color w:val="auto"/>
                <w:sz w:val="18"/>
                <w:szCs w:val="18"/>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021" w:type="dxa"/>
            <w:vMerge w:val="restart"/>
          </w:tcPr>
          <w:p>
            <w:pPr>
              <w:pStyle w:val="14"/>
              <w:widowControl w:val="0"/>
              <w:numPr>
                <w:ilvl w:val="0"/>
                <w:numId w:val="0"/>
              </w:numPr>
              <w:spacing w:before="0" w:after="0" w:line="340" w:lineRule="exact"/>
              <w:jc w:val="center"/>
              <w:rPr>
                <w:rFonts w:ascii="Times New Roman"/>
                <w:color w:val="auto"/>
                <w:sz w:val="18"/>
                <w:szCs w:val="18"/>
                <w:highlight w:val="none"/>
              </w:rPr>
            </w:pPr>
          </w:p>
          <w:p>
            <w:pPr>
              <w:pStyle w:val="14"/>
              <w:widowControl w:val="0"/>
              <w:numPr>
                <w:ilvl w:val="0"/>
                <w:numId w:val="0"/>
              </w:numPr>
              <w:spacing w:before="0" w:after="0" w:line="340" w:lineRule="exact"/>
              <w:jc w:val="center"/>
              <w:rPr>
                <w:rFonts w:ascii="Times New Roman"/>
                <w:color w:val="auto"/>
                <w:sz w:val="18"/>
                <w:szCs w:val="18"/>
                <w:highlight w:val="none"/>
              </w:rPr>
            </w:pPr>
          </w:p>
          <w:p>
            <w:pPr>
              <w:pStyle w:val="14"/>
              <w:widowControl w:val="0"/>
              <w:numPr>
                <w:ilvl w:val="0"/>
                <w:numId w:val="0"/>
              </w:numPr>
              <w:spacing w:before="0" w:after="0" w:line="340" w:lineRule="exact"/>
              <w:jc w:val="center"/>
              <w:rPr>
                <w:color w:val="auto"/>
                <w:highlight w:val="none"/>
              </w:rPr>
            </w:pPr>
            <w:r>
              <w:rPr>
                <w:rFonts w:hint="eastAsia" w:ascii="Times New Roman"/>
                <w:color w:val="auto"/>
                <w:sz w:val="18"/>
                <w:szCs w:val="18"/>
                <w:highlight w:val="none"/>
              </w:rPr>
              <w:t>Q</w:t>
            </w:r>
            <w:r>
              <w:rPr>
                <w:rFonts w:ascii="Times New Roman"/>
                <w:color w:val="auto"/>
                <w:sz w:val="18"/>
                <w:szCs w:val="18"/>
                <w:highlight w:val="none"/>
              </w:rPr>
              <w:t>T900-5</w:t>
            </w:r>
          </w:p>
        </w:tc>
        <w:tc>
          <w:tcPr>
            <w:tcW w:w="1384" w:type="dxa"/>
          </w:tcPr>
          <w:p>
            <w:pPr>
              <w:spacing w:before="50" w:after="156"/>
              <w:jc w:val="center"/>
              <w:rPr>
                <w:color w:val="auto"/>
                <w:sz w:val="18"/>
                <w:szCs w:val="18"/>
                <w:highlight w:val="none"/>
              </w:rPr>
            </w:pPr>
            <w:r>
              <w:rPr>
                <w:color w:val="auto"/>
                <w:sz w:val="18"/>
                <w:szCs w:val="18"/>
                <w:highlight w:val="none"/>
              </w:rPr>
              <w:t>t≤30</w:t>
            </w:r>
          </w:p>
        </w:tc>
        <w:tc>
          <w:tcPr>
            <w:tcW w:w="1429" w:type="dxa"/>
          </w:tcPr>
          <w:p>
            <w:pPr>
              <w:spacing w:before="50" w:after="156"/>
              <w:jc w:val="center"/>
              <w:rPr>
                <w:color w:val="auto"/>
                <w:sz w:val="18"/>
                <w:szCs w:val="18"/>
                <w:highlight w:val="none"/>
              </w:rPr>
            </w:pPr>
            <w:r>
              <w:rPr>
                <w:rFonts w:hint="eastAsia"/>
                <w:color w:val="auto"/>
                <w:sz w:val="18"/>
                <w:szCs w:val="18"/>
                <w:highlight w:val="none"/>
              </w:rPr>
              <w:t>9</w:t>
            </w:r>
            <w:r>
              <w:rPr>
                <w:color w:val="auto"/>
                <w:sz w:val="18"/>
                <w:szCs w:val="18"/>
                <w:highlight w:val="none"/>
              </w:rPr>
              <w:t>00</w:t>
            </w:r>
          </w:p>
        </w:tc>
        <w:tc>
          <w:tcPr>
            <w:tcW w:w="1500" w:type="dxa"/>
          </w:tcPr>
          <w:p>
            <w:pPr>
              <w:spacing w:before="50" w:after="156"/>
              <w:jc w:val="center"/>
              <w:rPr>
                <w:color w:val="auto"/>
                <w:sz w:val="18"/>
                <w:szCs w:val="18"/>
                <w:highlight w:val="none"/>
              </w:rPr>
            </w:pPr>
            <w:r>
              <w:rPr>
                <w:rFonts w:hint="eastAsia"/>
                <w:color w:val="auto"/>
                <w:sz w:val="18"/>
                <w:szCs w:val="18"/>
                <w:highlight w:val="none"/>
              </w:rPr>
              <w:t>5</w:t>
            </w:r>
            <w:r>
              <w:rPr>
                <w:color w:val="auto"/>
                <w:sz w:val="18"/>
                <w:szCs w:val="18"/>
                <w:highlight w:val="none"/>
              </w:rPr>
              <w:t>40</w:t>
            </w:r>
          </w:p>
        </w:tc>
        <w:tc>
          <w:tcPr>
            <w:tcW w:w="1374" w:type="dxa"/>
          </w:tcPr>
          <w:p>
            <w:pPr>
              <w:spacing w:before="50" w:after="156"/>
              <w:jc w:val="center"/>
              <w:rPr>
                <w:color w:val="auto"/>
                <w:sz w:val="18"/>
                <w:szCs w:val="18"/>
                <w:highlight w:val="none"/>
              </w:rPr>
            </w:pPr>
            <w:r>
              <w:rPr>
                <w:rFonts w:hint="eastAsia"/>
                <w:color w:val="auto"/>
                <w:sz w:val="18"/>
                <w:szCs w:val="18"/>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1" w:type="dxa"/>
            <w:vMerge w:val="continue"/>
          </w:tcPr>
          <w:p>
            <w:pPr>
              <w:pStyle w:val="14"/>
              <w:widowControl w:val="0"/>
              <w:numPr>
                <w:ilvl w:val="0"/>
                <w:numId w:val="0"/>
              </w:numPr>
              <w:spacing w:before="0" w:after="0" w:line="340" w:lineRule="exact"/>
              <w:jc w:val="center"/>
              <w:rPr>
                <w:rFonts w:ascii="Times New Roman"/>
                <w:color w:val="auto"/>
                <w:sz w:val="18"/>
                <w:szCs w:val="18"/>
                <w:highlight w:val="none"/>
              </w:rPr>
            </w:pPr>
          </w:p>
        </w:tc>
        <w:tc>
          <w:tcPr>
            <w:tcW w:w="1384" w:type="dxa"/>
          </w:tcPr>
          <w:p>
            <w:pPr>
              <w:spacing w:before="50" w:after="156"/>
              <w:jc w:val="center"/>
              <w:rPr>
                <w:color w:val="auto"/>
                <w:sz w:val="18"/>
                <w:szCs w:val="18"/>
                <w:highlight w:val="none"/>
              </w:rPr>
            </w:pPr>
            <w:r>
              <w:rPr>
                <w:color w:val="auto"/>
                <w:sz w:val="18"/>
                <w:szCs w:val="18"/>
                <w:highlight w:val="none"/>
              </w:rPr>
              <w:t>30&lt;t≤60</w:t>
            </w:r>
          </w:p>
        </w:tc>
        <w:tc>
          <w:tcPr>
            <w:tcW w:w="1429" w:type="dxa"/>
          </w:tcPr>
          <w:p>
            <w:pPr>
              <w:spacing w:before="50" w:after="156"/>
              <w:jc w:val="center"/>
              <w:rPr>
                <w:color w:val="auto"/>
                <w:sz w:val="18"/>
                <w:szCs w:val="18"/>
                <w:highlight w:val="none"/>
              </w:rPr>
            </w:pPr>
            <w:r>
              <w:rPr>
                <w:color w:val="auto"/>
                <w:sz w:val="18"/>
                <w:szCs w:val="18"/>
                <w:highlight w:val="none"/>
              </w:rPr>
              <w:t>880</w:t>
            </w:r>
          </w:p>
        </w:tc>
        <w:tc>
          <w:tcPr>
            <w:tcW w:w="1500" w:type="dxa"/>
          </w:tcPr>
          <w:p>
            <w:pPr>
              <w:spacing w:before="50" w:after="156"/>
              <w:jc w:val="center"/>
              <w:rPr>
                <w:color w:val="auto"/>
                <w:sz w:val="18"/>
                <w:szCs w:val="18"/>
                <w:highlight w:val="none"/>
              </w:rPr>
            </w:pPr>
            <w:r>
              <w:rPr>
                <w:color w:val="auto"/>
                <w:sz w:val="18"/>
                <w:szCs w:val="18"/>
                <w:highlight w:val="none"/>
              </w:rPr>
              <w:t>540</w:t>
            </w:r>
          </w:p>
        </w:tc>
        <w:tc>
          <w:tcPr>
            <w:tcW w:w="1374" w:type="dxa"/>
          </w:tcPr>
          <w:p>
            <w:pPr>
              <w:spacing w:before="50" w:after="156"/>
              <w:jc w:val="center"/>
              <w:rPr>
                <w:color w:val="auto"/>
                <w:sz w:val="18"/>
                <w:szCs w:val="18"/>
                <w:highlight w:val="none"/>
              </w:rPr>
            </w:pPr>
            <w:r>
              <w:rPr>
                <w:color w:val="auto"/>
                <w:sz w:val="18"/>
                <w:szCs w:val="18"/>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1021" w:type="dxa"/>
            <w:vMerge w:val="continue"/>
          </w:tcPr>
          <w:p>
            <w:pPr>
              <w:pStyle w:val="14"/>
              <w:widowControl w:val="0"/>
              <w:numPr>
                <w:ilvl w:val="0"/>
                <w:numId w:val="0"/>
              </w:numPr>
              <w:spacing w:before="0" w:after="0" w:line="340" w:lineRule="exact"/>
              <w:jc w:val="center"/>
              <w:rPr>
                <w:rFonts w:ascii="Times New Roman"/>
                <w:color w:val="auto"/>
                <w:sz w:val="18"/>
                <w:szCs w:val="18"/>
                <w:highlight w:val="none"/>
              </w:rPr>
            </w:pPr>
          </w:p>
        </w:tc>
        <w:tc>
          <w:tcPr>
            <w:tcW w:w="1384" w:type="dxa"/>
          </w:tcPr>
          <w:p>
            <w:pPr>
              <w:spacing w:before="50" w:after="156"/>
              <w:jc w:val="center"/>
              <w:rPr>
                <w:color w:val="auto"/>
                <w:sz w:val="18"/>
                <w:szCs w:val="18"/>
                <w:highlight w:val="none"/>
              </w:rPr>
            </w:pPr>
            <w:r>
              <w:rPr>
                <w:color w:val="auto"/>
                <w:sz w:val="18"/>
                <w:szCs w:val="18"/>
                <w:highlight w:val="none"/>
              </w:rPr>
              <w:t>60&lt;t≤100</w:t>
            </w:r>
          </w:p>
        </w:tc>
        <w:tc>
          <w:tcPr>
            <w:tcW w:w="1429" w:type="dxa"/>
          </w:tcPr>
          <w:p>
            <w:pPr>
              <w:spacing w:before="50" w:after="156"/>
              <w:jc w:val="center"/>
              <w:rPr>
                <w:color w:val="auto"/>
                <w:sz w:val="18"/>
                <w:szCs w:val="18"/>
                <w:highlight w:val="none"/>
              </w:rPr>
            </w:pPr>
            <w:r>
              <w:rPr>
                <w:color w:val="auto"/>
                <w:sz w:val="18"/>
                <w:szCs w:val="18"/>
                <w:highlight w:val="none"/>
              </w:rPr>
              <w:t>860</w:t>
            </w:r>
          </w:p>
        </w:tc>
        <w:tc>
          <w:tcPr>
            <w:tcW w:w="1500" w:type="dxa"/>
          </w:tcPr>
          <w:p>
            <w:pPr>
              <w:spacing w:before="50" w:after="156"/>
              <w:jc w:val="center"/>
              <w:rPr>
                <w:color w:val="auto"/>
                <w:sz w:val="18"/>
                <w:szCs w:val="18"/>
                <w:highlight w:val="none"/>
              </w:rPr>
            </w:pPr>
            <w:r>
              <w:rPr>
                <w:rFonts w:hint="eastAsia"/>
                <w:color w:val="auto"/>
                <w:sz w:val="18"/>
                <w:szCs w:val="18"/>
                <w:highlight w:val="none"/>
              </w:rPr>
              <w:t>5</w:t>
            </w:r>
            <w:r>
              <w:rPr>
                <w:color w:val="auto"/>
                <w:sz w:val="18"/>
                <w:szCs w:val="18"/>
                <w:highlight w:val="none"/>
              </w:rPr>
              <w:t>20</w:t>
            </w:r>
          </w:p>
        </w:tc>
        <w:tc>
          <w:tcPr>
            <w:tcW w:w="1374" w:type="dxa"/>
          </w:tcPr>
          <w:p>
            <w:pPr>
              <w:spacing w:before="50" w:after="156"/>
              <w:jc w:val="center"/>
              <w:rPr>
                <w:color w:val="auto"/>
                <w:sz w:val="18"/>
                <w:szCs w:val="18"/>
                <w:highlight w:val="none"/>
              </w:rPr>
            </w:pPr>
            <w:r>
              <w:rPr>
                <w:rFonts w:hint="eastAsia"/>
                <w:color w:val="auto"/>
                <w:sz w:val="18"/>
                <w:szCs w:val="18"/>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1021" w:type="dxa"/>
            <w:vMerge w:val="restart"/>
          </w:tcPr>
          <w:p>
            <w:pPr>
              <w:pStyle w:val="14"/>
              <w:widowControl w:val="0"/>
              <w:numPr>
                <w:ilvl w:val="0"/>
                <w:numId w:val="0"/>
              </w:numPr>
              <w:spacing w:before="0" w:after="0" w:line="340" w:lineRule="exact"/>
              <w:jc w:val="center"/>
              <w:rPr>
                <w:rFonts w:ascii="Times New Roman"/>
                <w:color w:val="auto"/>
                <w:sz w:val="18"/>
                <w:szCs w:val="18"/>
                <w:highlight w:val="none"/>
              </w:rPr>
            </w:pPr>
          </w:p>
          <w:p>
            <w:pPr>
              <w:pStyle w:val="14"/>
              <w:widowControl w:val="0"/>
              <w:numPr>
                <w:ilvl w:val="0"/>
                <w:numId w:val="0"/>
              </w:numPr>
              <w:spacing w:before="0" w:after="0" w:line="340" w:lineRule="exact"/>
              <w:jc w:val="center"/>
              <w:rPr>
                <w:rFonts w:ascii="Times New Roman"/>
                <w:color w:val="auto"/>
                <w:sz w:val="18"/>
                <w:szCs w:val="18"/>
                <w:highlight w:val="none"/>
              </w:rPr>
            </w:pPr>
            <w:r>
              <w:rPr>
                <w:rFonts w:hint="eastAsia" w:ascii="Times New Roman"/>
                <w:color w:val="auto"/>
                <w:sz w:val="18"/>
                <w:szCs w:val="18"/>
                <w:highlight w:val="none"/>
              </w:rPr>
              <w:t>Q</w:t>
            </w:r>
            <w:r>
              <w:rPr>
                <w:rFonts w:ascii="Times New Roman"/>
                <w:color w:val="auto"/>
                <w:sz w:val="18"/>
                <w:szCs w:val="18"/>
                <w:highlight w:val="none"/>
              </w:rPr>
              <w:t>T1000-5</w:t>
            </w:r>
          </w:p>
        </w:tc>
        <w:tc>
          <w:tcPr>
            <w:tcW w:w="1384" w:type="dxa"/>
          </w:tcPr>
          <w:p>
            <w:pPr>
              <w:spacing w:before="50" w:after="156"/>
              <w:jc w:val="center"/>
              <w:rPr>
                <w:color w:val="auto"/>
                <w:sz w:val="18"/>
                <w:szCs w:val="18"/>
                <w:highlight w:val="none"/>
              </w:rPr>
            </w:pPr>
            <w:r>
              <w:rPr>
                <w:color w:val="auto"/>
                <w:sz w:val="18"/>
                <w:szCs w:val="18"/>
                <w:highlight w:val="none"/>
              </w:rPr>
              <w:t>t≤30</w:t>
            </w:r>
          </w:p>
        </w:tc>
        <w:tc>
          <w:tcPr>
            <w:tcW w:w="1429" w:type="dxa"/>
          </w:tcPr>
          <w:p>
            <w:pPr>
              <w:spacing w:before="50" w:after="156"/>
              <w:jc w:val="center"/>
              <w:rPr>
                <w:color w:val="auto"/>
                <w:sz w:val="18"/>
                <w:szCs w:val="18"/>
                <w:highlight w:val="none"/>
              </w:rPr>
            </w:pPr>
            <w:r>
              <w:rPr>
                <w:rFonts w:hint="eastAsia"/>
                <w:color w:val="auto"/>
                <w:sz w:val="18"/>
                <w:szCs w:val="18"/>
                <w:highlight w:val="none"/>
              </w:rPr>
              <w:t>1000</w:t>
            </w:r>
          </w:p>
        </w:tc>
        <w:tc>
          <w:tcPr>
            <w:tcW w:w="1500" w:type="dxa"/>
          </w:tcPr>
          <w:p>
            <w:pPr>
              <w:spacing w:before="50" w:after="156"/>
              <w:jc w:val="center"/>
              <w:rPr>
                <w:color w:val="auto"/>
                <w:sz w:val="18"/>
                <w:szCs w:val="18"/>
                <w:highlight w:val="none"/>
              </w:rPr>
            </w:pPr>
            <w:r>
              <w:rPr>
                <w:rFonts w:hint="eastAsia"/>
                <w:color w:val="auto"/>
                <w:sz w:val="18"/>
                <w:szCs w:val="18"/>
                <w:highlight w:val="none"/>
              </w:rPr>
              <w:t>600</w:t>
            </w:r>
          </w:p>
        </w:tc>
        <w:tc>
          <w:tcPr>
            <w:tcW w:w="1374" w:type="dxa"/>
          </w:tcPr>
          <w:p>
            <w:pPr>
              <w:spacing w:before="50" w:after="156"/>
              <w:jc w:val="center"/>
              <w:rPr>
                <w:color w:val="auto"/>
                <w:sz w:val="18"/>
                <w:szCs w:val="18"/>
                <w:highlight w:val="none"/>
              </w:rPr>
            </w:pPr>
            <w:r>
              <w:rPr>
                <w:rFonts w:hint="eastAsia"/>
                <w:color w:val="auto"/>
                <w:sz w:val="18"/>
                <w:szCs w:val="18"/>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1021" w:type="dxa"/>
            <w:vMerge w:val="continue"/>
          </w:tcPr>
          <w:p>
            <w:pPr>
              <w:pStyle w:val="14"/>
              <w:widowControl w:val="0"/>
              <w:numPr>
                <w:ilvl w:val="0"/>
                <w:numId w:val="0"/>
              </w:numPr>
              <w:spacing w:before="0" w:after="0" w:line="340" w:lineRule="exact"/>
              <w:jc w:val="center"/>
              <w:rPr>
                <w:rFonts w:ascii="Times New Roman"/>
                <w:color w:val="auto"/>
                <w:sz w:val="18"/>
                <w:szCs w:val="18"/>
                <w:highlight w:val="none"/>
              </w:rPr>
            </w:pPr>
          </w:p>
        </w:tc>
        <w:tc>
          <w:tcPr>
            <w:tcW w:w="1384" w:type="dxa"/>
          </w:tcPr>
          <w:p>
            <w:pPr>
              <w:spacing w:before="50" w:after="156"/>
              <w:jc w:val="center"/>
              <w:rPr>
                <w:color w:val="auto"/>
                <w:sz w:val="18"/>
                <w:szCs w:val="18"/>
                <w:highlight w:val="none"/>
              </w:rPr>
            </w:pPr>
            <w:r>
              <w:rPr>
                <w:color w:val="auto"/>
                <w:sz w:val="18"/>
                <w:szCs w:val="18"/>
                <w:highlight w:val="none"/>
              </w:rPr>
              <w:t>30&lt;t≤60</w:t>
            </w:r>
          </w:p>
        </w:tc>
        <w:tc>
          <w:tcPr>
            <w:tcW w:w="1429" w:type="dxa"/>
          </w:tcPr>
          <w:p>
            <w:pPr>
              <w:spacing w:before="50" w:after="156"/>
              <w:jc w:val="center"/>
              <w:rPr>
                <w:color w:val="auto"/>
                <w:sz w:val="18"/>
                <w:szCs w:val="18"/>
                <w:highlight w:val="none"/>
              </w:rPr>
            </w:pPr>
            <w:r>
              <w:rPr>
                <w:color w:val="auto"/>
                <w:sz w:val="18"/>
                <w:szCs w:val="18"/>
                <w:highlight w:val="none"/>
              </w:rPr>
              <w:t>1000</w:t>
            </w:r>
          </w:p>
        </w:tc>
        <w:tc>
          <w:tcPr>
            <w:tcW w:w="1500" w:type="dxa"/>
          </w:tcPr>
          <w:p>
            <w:pPr>
              <w:spacing w:before="50" w:after="156"/>
              <w:jc w:val="center"/>
              <w:rPr>
                <w:color w:val="auto"/>
                <w:sz w:val="18"/>
                <w:szCs w:val="18"/>
                <w:highlight w:val="none"/>
              </w:rPr>
            </w:pPr>
            <w:r>
              <w:rPr>
                <w:color w:val="auto"/>
                <w:sz w:val="18"/>
                <w:szCs w:val="18"/>
                <w:highlight w:val="none"/>
              </w:rPr>
              <w:t>600</w:t>
            </w:r>
          </w:p>
        </w:tc>
        <w:tc>
          <w:tcPr>
            <w:tcW w:w="1374" w:type="dxa"/>
          </w:tcPr>
          <w:p>
            <w:pPr>
              <w:spacing w:before="50" w:after="156"/>
              <w:jc w:val="center"/>
              <w:rPr>
                <w:color w:val="auto"/>
                <w:sz w:val="18"/>
                <w:szCs w:val="18"/>
                <w:highlight w:val="none"/>
              </w:rPr>
            </w:pPr>
            <w:r>
              <w:rPr>
                <w:color w:val="auto"/>
                <w:sz w:val="18"/>
                <w:szCs w:val="18"/>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1021" w:type="dxa"/>
            <w:vMerge w:val="continue"/>
          </w:tcPr>
          <w:p>
            <w:pPr>
              <w:pStyle w:val="14"/>
              <w:widowControl w:val="0"/>
              <w:numPr>
                <w:ilvl w:val="0"/>
                <w:numId w:val="0"/>
              </w:numPr>
              <w:spacing w:before="0" w:after="0" w:line="340" w:lineRule="exact"/>
              <w:jc w:val="center"/>
              <w:rPr>
                <w:rFonts w:ascii="Times New Roman"/>
                <w:color w:val="auto"/>
                <w:sz w:val="18"/>
                <w:szCs w:val="18"/>
                <w:highlight w:val="none"/>
              </w:rPr>
            </w:pPr>
          </w:p>
        </w:tc>
        <w:tc>
          <w:tcPr>
            <w:tcW w:w="1384" w:type="dxa"/>
          </w:tcPr>
          <w:p>
            <w:pPr>
              <w:spacing w:before="50" w:after="156"/>
              <w:jc w:val="center"/>
              <w:rPr>
                <w:color w:val="auto"/>
                <w:sz w:val="18"/>
                <w:szCs w:val="18"/>
                <w:highlight w:val="none"/>
              </w:rPr>
            </w:pPr>
            <w:r>
              <w:rPr>
                <w:color w:val="auto"/>
                <w:sz w:val="18"/>
                <w:szCs w:val="18"/>
                <w:highlight w:val="none"/>
              </w:rPr>
              <w:t>60&lt;t≤100</w:t>
            </w:r>
          </w:p>
        </w:tc>
        <w:tc>
          <w:tcPr>
            <w:tcW w:w="1429" w:type="dxa"/>
          </w:tcPr>
          <w:p>
            <w:pPr>
              <w:spacing w:before="50" w:after="156"/>
              <w:jc w:val="center"/>
              <w:rPr>
                <w:color w:val="auto"/>
                <w:sz w:val="18"/>
                <w:szCs w:val="18"/>
                <w:highlight w:val="none"/>
              </w:rPr>
            </w:pPr>
            <w:r>
              <w:rPr>
                <w:rFonts w:hint="eastAsia"/>
                <w:color w:val="auto"/>
                <w:sz w:val="18"/>
                <w:szCs w:val="18"/>
                <w:highlight w:val="none"/>
              </w:rPr>
              <w:t>980</w:t>
            </w:r>
          </w:p>
        </w:tc>
        <w:tc>
          <w:tcPr>
            <w:tcW w:w="1500" w:type="dxa"/>
          </w:tcPr>
          <w:p>
            <w:pPr>
              <w:spacing w:before="50" w:after="156"/>
              <w:jc w:val="center"/>
              <w:rPr>
                <w:color w:val="auto"/>
                <w:sz w:val="18"/>
                <w:szCs w:val="18"/>
                <w:highlight w:val="none"/>
              </w:rPr>
            </w:pPr>
            <w:r>
              <w:rPr>
                <w:rFonts w:hint="eastAsia"/>
                <w:color w:val="auto"/>
                <w:sz w:val="18"/>
                <w:szCs w:val="18"/>
                <w:highlight w:val="none"/>
              </w:rPr>
              <w:t>580</w:t>
            </w:r>
          </w:p>
        </w:tc>
        <w:tc>
          <w:tcPr>
            <w:tcW w:w="1374" w:type="dxa"/>
          </w:tcPr>
          <w:p>
            <w:pPr>
              <w:spacing w:before="50" w:after="156"/>
              <w:jc w:val="center"/>
              <w:rPr>
                <w:color w:val="auto"/>
                <w:sz w:val="18"/>
                <w:szCs w:val="18"/>
                <w:highlight w:val="none"/>
              </w:rPr>
            </w:pPr>
            <w:r>
              <w:rPr>
                <w:rFonts w:hint="eastAsia"/>
                <w:color w:val="auto"/>
                <w:sz w:val="18"/>
                <w:szCs w:val="18"/>
                <w:highlight w:val="none"/>
              </w:rPr>
              <w:t>5</w:t>
            </w:r>
          </w:p>
        </w:tc>
      </w:tr>
    </w:tbl>
    <w:p>
      <w:pPr>
        <w:pStyle w:val="5"/>
        <w:spacing w:before="0" w:beforeAutospacing="0" w:after="0" w:afterAutospacing="0" w:line="340" w:lineRule="exact"/>
        <w:rPr>
          <w:color w:val="auto"/>
          <w:highlight w:val="none"/>
        </w:rPr>
      </w:pPr>
    </w:p>
    <w:p>
      <w:pPr>
        <w:pStyle w:val="5"/>
        <w:spacing w:before="0" w:beforeAutospacing="0" w:after="0" w:afterAutospacing="0" w:line="340" w:lineRule="exact"/>
        <w:rPr>
          <w:color w:val="auto"/>
          <w:highlight w:val="none"/>
        </w:rPr>
      </w:pPr>
    </w:p>
    <w:p>
      <w:pPr>
        <w:pStyle w:val="12"/>
        <w:ind w:firstLine="0" w:firstLineChars="0"/>
        <w:jc w:val="center"/>
        <w:rPr>
          <w:color w:val="auto"/>
          <w:highlight w:val="none"/>
        </w:rPr>
      </w:pPr>
      <w:r>
        <w:rPr>
          <w:rFonts w:hAnsi="黑体"/>
          <w:color w:val="auto"/>
          <w:szCs w:val="21"/>
          <w:highlight w:val="none"/>
        </w:rPr>
        <w:t>表</w:t>
      </w:r>
      <w:r>
        <w:rPr>
          <w:rFonts w:hint="eastAsia" w:hAnsi="黑体"/>
          <w:color w:val="auto"/>
          <w:szCs w:val="21"/>
          <w:highlight w:val="none"/>
        </w:rPr>
        <w:t>2</w:t>
      </w:r>
      <w:r>
        <w:rPr>
          <w:rFonts w:hAnsi="黑体"/>
          <w:color w:val="auto"/>
          <w:szCs w:val="21"/>
          <w:highlight w:val="none"/>
        </w:rPr>
        <w:t xml:space="preserve">  </w:t>
      </w:r>
      <w:r>
        <w:rPr>
          <w:rFonts w:hint="eastAsia" w:hAnsi="黑体"/>
          <w:color w:val="auto"/>
          <w:szCs w:val="21"/>
          <w:highlight w:val="none"/>
        </w:rPr>
        <w:t>高强度高塑性球墨铸铁的</w:t>
      </w:r>
      <w:r>
        <w:rPr>
          <w:rFonts w:hint="eastAsia" w:hAnsi="Times New Roman"/>
          <w:color w:val="auto"/>
          <w:highlight w:val="none"/>
        </w:rPr>
        <w:t>布氏硬度指导值</w:t>
      </w:r>
    </w:p>
    <w:tbl>
      <w:tblPr>
        <w:tblStyle w:val="6"/>
        <w:tblW w:w="42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26"/>
        <w:gridCol w:w="1211"/>
        <w:gridCol w:w="1211"/>
        <w:gridCol w:w="1448"/>
        <w:gridCol w:w="1269"/>
        <w:gridCol w:w="12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1011" w:type="pct"/>
            <w:vAlign w:val="center"/>
          </w:tcPr>
          <w:p>
            <w:pPr>
              <w:pStyle w:val="14"/>
              <w:widowControl w:val="0"/>
              <w:numPr>
                <w:ilvl w:val="0"/>
                <w:numId w:val="0"/>
              </w:numPr>
              <w:spacing w:before="0" w:after="0" w:line="340" w:lineRule="exact"/>
              <w:jc w:val="center"/>
              <w:rPr>
                <w:rFonts w:ascii="Times New Roman"/>
                <w:color w:val="auto"/>
                <w:sz w:val="18"/>
                <w:szCs w:val="18"/>
                <w:highlight w:val="none"/>
              </w:rPr>
            </w:pPr>
            <w:r>
              <w:rPr>
                <w:rFonts w:hint="eastAsia" w:ascii="Times New Roman"/>
                <w:color w:val="auto"/>
                <w:sz w:val="18"/>
                <w:szCs w:val="18"/>
                <w:highlight w:val="none"/>
              </w:rPr>
              <w:t>牌号</w:t>
            </w:r>
          </w:p>
        </w:tc>
        <w:tc>
          <w:tcPr>
            <w:tcW w:w="753" w:type="pct"/>
            <w:tcBorders>
              <w:bottom w:val="single" w:color="auto" w:sz="4" w:space="0"/>
            </w:tcBorders>
            <w:vAlign w:val="center"/>
          </w:tcPr>
          <w:p>
            <w:pPr>
              <w:pStyle w:val="14"/>
              <w:widowControl w:val="0"/>
              <w:numPr>
                <w:ilvl w:val="0"/>
                <w:numId w:val="0"/>
              </w:numPr>
              <w:spacing w:before="0" w:after="0" w:line="340" w:lineRule="exact"/>
              <w:jc w:val="center"/>
              <w:rPr>
                <w:rFonts w:ascii="Times New Roman"/>
                <w:color w:val="auto"/>
                <w:sz w:val="18"/>
                <w:szCs w:val="18"/>
                <w:highlight w:val="none"/>
              </w:rPr>
            </w:pPr>
            <w:r>
              <w:rPr>
                <w:rFonts w:hint="eastAsia" w:ascii="Times New Roman"/>
                <w:color w:val="auto"/>
                <w:sz w:val="18"/>
                <w:szCs w:val="18"/>
                <w:highlight w:val="none"/>
              </w:rPr>
              <w:t>QT700-8</w:t>
            </w:r>
          </w:p>
        </w:tc>
        <w:tc>
          <w:tcPr>
            <w:tcW w:w="753" w:type="pct"/>
            <w:tcBorders>
              <w:bottom w:val="single" w:color="auto" w:sz="4" w:space="0"/>
            </w:tcBorders>
            <w:vAlign w:val="center"/>
          </w:tcPr>
          <w:p>
            <w:pPr>
              <w:pStyle w:val="14"/>
              <w:widowControl w:val="0"/>
              <w:numPr>
                <w:ilvl w:val="0"/>
                <w:numId w:val="0"/>
              </w:numPr>
              <w:spacing w:before="0" w:after="0" w:line="340" w:lineRule="exact"/>
              <w:jc w:val="center"/>
              <w:rPr>
                <w:rFonts w:ascii="Times New Roman"/>
                <w:color w:val="auto"/>
                <w:sz w:val="18"/>
                <w:szCs w:val="18"/>
                <w:highlight w:val="none"/>
              </w:rPr>
            </w:pPr>
            <w:r>
              <w:rPr>
                <w:rFonts w:hint="eastAsia" w:ascii="Times New Roman"/>
                <w:color w:val="auto"/>
                <w:sz w:val="18"/>
                <w:szCs w:val="18"/>
                <w:highlight w:val="none"/>
              </w:rPr>
              <w:t>QT700-10</w:t>
            </w:r>
          </w:p>
        </w:tc>
        <w:tc>
          <w:tcPr>
            <w:tcW w:w="900" w:type="pct"/>
            <w:tcBorders>
              <w:bottom w:val="single" w:color="auto" w:sz="4" w:space="0"/>
            </w:tcBorders>
            <w:vAlign w:val="center"/>
          </w:tcPr>
          <w:p>
            <w:pPr>
              <w:pStyle w:val="14"/>
              <w:widowControl w:val="0"/>
              <w:numPr>
                <w:ilvl w:val="0"/>
                <w:numId w:val="0"/>
              </w:numPr>
              <w:spacing w:before="0" w:after="0" w:line="340" w:lineRule="exact"/>
              <w:jc w:val="center"/>
              <w:rPr>
                <w:rFonts w:ascii="Times New Roman"/>
                <w:color w:val="auto"/>
                <w:sz w:val="18"/>
                <w:szCs w:val="18"/>
                <w:highlight w:val="none"/>
              </w:rPr>
            </w:pPr>
            <w:r>
              <w:rPr>
                <w:rFonts w:hint="eastAsia" w:ascii="Times New Roman"/>
                <w:color w:val="auto"/>
                <w:sz w:val="18"/>
                <w:szCs w:val="18"/>
                <w:highlight w:val="none"/>
              </w:rPr>
              <w:t>QT800-5</w:t>
            </w:r>
          </w:p>
        </w:tc>
        <w:tc>
          <w:tcPr>
            <w:tcW w:w="789" w:type="pct"/>
            <w:tcBorders>
              <w:bottom w:val="single" w:color="auto" w:sz="4" w:space="0"/>
            </w:tcBorders>
            <w:vAlign w:val="center"/>
          </w:tcPr>
          <w:p>
            <w:pPr>
              <w:pStyle w:val="14"/>
              <w:widowControl w:val="0"/>
              <w:numPr>
                <w:ilvl w:val="0"/>
                <w:numId w:val="0"/>
              </w:numPr>
              <w:spacing w:before="0" w:after="0" w:line="340" w:lineRule="exact"/>
              <w:jc w:val="center"/>
              <w:rPr>
                <w:rFonts w:ascii="Times New Roman"/>
                <w:color w:val="auto"/>
                <w:sz w:val="18"/>
                <w:szCs w:val="18"/>
                <w:highlight w:val="none"/>
              </w:rPr>
            </w:pPr>
            <w:r>
              <w:rPr>
                <w:rFonts w:hint="eastAsia" w:ascii="Times New Roman"/>
                <w:color w:val="auto"/>
                <w:sz w:val="18"/>
                <w:szCs w:val="18"/>
                <w:highlight w:val="none"/>
              </w:rPr>
              <w:t>QT900-5</w:t>
            </w:r>
          </w:p>
        </w:tc>
        <w:tc>
          <w:tcPr>
            <w:tcW w:w="791" w:type="pct"/>
            <w:tcBorders>
              <w:bottom w:val="single" w:color="auto" w:sz="4" w:space="0"/>
            </w:tcBorders>
          </w:tcPr>
          <w:p>
            <w:pPr>
              <w:pStyle w:val="14"/>
              <w:widowControl w:val="0"/>
              <w:numPr>
                <w:ilvl w:val="0"/>
                <w:numId w:val="0"/>
              </w:numPr>
              <w:spacing w:before="0" w:after="0" w:line="340" w:lineRule="exact"/>
              <w:jc w:val="center"/>
              <w:rPr>
                <w:rFonts w:ascii="Times New Roman"/>
                <w:color w:val="auto"/>
                <w:sz w:val="18"/>
                <w:szCs w:val="18"/>
                <w:highlight w:val="none"/>
              </w:rPr>
            </w:pPr>
            <w:r>
              <w:rPr>
                <w:rFonts w:hint="eastAsia" w:ascii="Times New Roman"/>
                <w:color w:val="auto"/>
                <w:sz w:val="18"/>
                <w:szCs w:val="18"/>
                <w:highlight w:val="none"/>
              </w:rPr>
              <w:t>QT1000-5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011" w:type="pct"/>
          </w:tcPr>
          <w:p>
            <w:pPr>
              <w:pStyle w:val="14"/>
              <w:widowControl w:val="0"/>
              <w:numPr>
                <w:ilvl w:val="0"/>
                <w:numId w:val="0"/>
              </w:numPr>
              <w:spacing w:before="0" w:after="0" w:line="340" w:lineRule="exact"/>
              <w:jc w:val="center"/>
              <w:rPr>
                <w:rFonts w:ascii="Times New Roman"/>
                <w:color w:val="auto"/>
                <w:sz w:val="18"/>
                <w:szCs w:val="18"/>
                <w:highlight w:val="none"/>
              </w:rPr>
            </w:pPr>
            <w:r>
              <w:rPr>
                <w:rFonts w:hint="eastAsia" w:ascii="Times New Roman"/>
                <w:color w:val="auto"/>
                <w:sz w:val="18"/>
                <w:szCs w:val="18"/>
                <w:highlight w:val="none"/>
              </w:rPr>
              <w:t>布氏硬度（HBW）</w:t>
            </w:r>
          </w:p>
        </w:tc>
        <w:tc>
          <w:tcPr>
            <w:tcW w:w="753" w:type="pct"/>
            <w:tcBorders>
              <w:bottom w:val="single" w:color="auto" w:sz="4" w:space="0"/>
            </w:tcBorders>
          </w:tcPr>
          <w:p>
            <w:pPr>
              <w:pStyle w:val="14"/>
              <w:widowControl w:val="0"/>
              <w:numPr>
                <w:ilvl w:val="0"/>
                <w:numId w:val="0"/>
              </w:numPr>
              <w:spacing w:before="0" w:after="0" w:line="340" w:lineRule="exact"/>
              <w:jc w:val="center"/>
              <w:rPr>
                <w:rFonts w:ascii="Times New Roman"/>
                <w:color w:val="auto"/>
                <w:sz w:val="18"/>
                <w:szCs w:val="18"/>
                <w:highlight w:val="none"/>
              </w:rPr>
            </w:pPr>
            <w:r>
              <w:rPr>
                <w:rFonts w:hint="eastAsia" w:ascii="Times New Roman"/>
                <w:color w:val="auto"/>
                <w:sz w:val="18"/>
                <w:szCs w:val="18"/>
                <w:highlight w:val="none"/>
              </w:rPr>
              <w:t>220-290</w:t>
            </w:r>
          </w:p>
        </w:tc>
        <w:tc>
          <w:tcPr>
            <w:tcW w:w="753" w:type="pct"/>
            <w:tcBorders>
              <w:bottom w:val="single" w:color="auto" w:sz="4" w:space="0"/>
            </w:tcBorders>
          </w:tcPr>
          <w:p>
            <w:pPr>
              <w:pStyle w:val="14"/>
              <w:widowControl w:val="0"/>
              <w:numPr>
                <w:ilvl w:val="0"/>
                <w:numId w:val="0"/>
              </w:numPr>
              <w:spacing w:before="0" w:after="0" w:line="340" w:lineRule="exact"/>
              <w:jc w:val="center"/>
              <w:rPr>
                <w:rFonts w:ascii="Times New Roman"/>
                <w:color w:val="auto"/>
                <w:sz w:val="18"/>
                <w:szCs w:val="18"/>
                <w:highlight w:val="none"/>
              </w:rPr>
            </w:pPr>
            <w:r>
              <w:rPr>
                <w:rFonts w:hint="eastAsia" w:ascii="Times New Roman"/>
                <w:color w:val="auto"/>
                <w:sz w:val="18"/>
                <w:szCs w:val="18"/>
                <w:highlight w:val="none"/>
              </w:rPr>
              <w:t>200-290</w:t>
            </w:r>
          </w:p>
        </w:tc>
        <w:tc>
          <w:tcPr>
            <w:tcW w:w="900" w:type="pct"/>
            <w:tcBorders>
              <w:bottom w:val="single" w:color="auto" w:sz="4" w:space="0"/>
            </w:tcBorders>
          </w:tcPr>
          <w:p>
            <w:pPr>
              <w:pStyle w:val="14"/>
              <w:widowControl w:val="0"/>
              <w:numPr>
                <w:ilvl w:val="0"/>
                <w:numId w:val="0"/>
              </w:numPr>
              <w:spacing w:before="0" w:after="0" w:line="340" w:lineRule="exact"/>
              <w:jc w:val="center"/>
              <w:rPr>
                <w:rFonts w:ascii="Times New Roman"/>
                <w:color w:val="auto"/>
                <w:sz w:val="18"/>
                <w:szCs w:val="18"/>
                <w:highlight w:val="none"/>
              </w:rPr>
            </w:pPr>
            <w:r>
              <w:rPr>
                <w:rFonts w:hint="eastAsia" w:ascii="Times New Roman"/>
                <w:color w:val="auto"/>
                <w:sz w:val="18"/>
                <w:szCs w:val="18"/>
                <w:highlight w:val="none"/>
              </w:rPr>
              <w:t>240-310</w:t>
            </w:r>
          </w:p>
        </w:tc>
        <w:tc>
          <w:tcPr>
            <w:tcW w:w="789" w:type="pct"/>
            <w:tcBorders>
              <w:bottom w:val="single" w:color="auto" w:sz="4" w:space="0"/>
            </w:tcBorders>
          </w:tcPr>
          <w:p>
            <w:pPr>
              <w:pStyle w:val="14"/>
              <w:widowControl w:val="0"/>
              <w:numPr>
                <w:ilvl w:val="0"/>
                <w:numId w:val="0"/>
              </w:numPr>
              <w:spacing w:before="0" w:after="0" w:line="340" w:lineRule="exact"/>
              <w:jc w:val="center"/>
              <w:rPr>
                <w:rFonts w:ascii="Times New Roman"/>
                <w:color w:val="auto"/>
                <w:sz w:val="18"/>
                <w:szCs w:val="18"/>
                <w:highlight w:val="none"/>
              </w:rPr>
            </w:pPr>
            <w:r>
              <w:rPr>
                <w:rFonts w:hint="eastAsia" w:ascii="Times New Roman"/>
                <w:color w:val="auto"/>
                <w:sz w:val="18"/>
                <w:szCs w:val="18"/>
                <w:highlight w:val="none"/>
              </w:rPr>
              <w:t>250-320</w:t>
            </w:r>
          </w:p>
        </w:tc>
        <w:tc>
          <w:tcPr>
            <w:tcW w:w="791" w:type="pct"/>
            <w:tcBorders>
              <w:bottom w:val="single" w:color="auto" w:sz="4" w:space="0"/>
            </w:tcBorders>
          </w:tcPr>
          <w:p>
            <w:pPr>
              <w:pStyle w:val="14"/>
              <w:widowControl w:val="0"/>
              <w:numPr>
                <w:ilvl w:val="0"/>
                <w:numId w:val="0"/>
              </w:numPr>
              <w:spacing w:before="0" w:after="0" w:line="340" w:lineRule="exact"/>
              <w:jc w:val="center"/>
              <w:rPr>
                <w:rFonts w:ascii="Times New Roman"/>
                <w:color w:val="auto"/>
                <w:sz w:val="18"/>
                <w:szCs w:val="18"/>
                <w:highlight w:val="none"/>
              </w:rPr>
            </w:pPr>
            <w:r>
              <w:rPr>
                <w:rFonts w:hint="eastAsia" w:ascii="Times New Roman"/>
                <w:color w:val="auto"/>
                <w:sz w:val="18"/>
                <w:szCs w:val="18"/>
                <w:highlight w:val="none"/>
              </w:rPr>
              <w:t>270-330</w:t>
            </w:r>
          </w:p>
        </w:tc>
      </w:tr>
    </w:tbl>
    <w:p>
      <w:pPr>
        <w:pStyle w:val="5"/>
        <w:spacing w:before="0" w:beforeAutospacing="0" w:after="0" w:afterAutospacing="0" w:line="340" w:lineRule="exact"/>
        <w:ind w:firstLine="480" w:firstLineChars="200"/>
        <w:rPr>
          <w:color w:val="auto"/>
          <w:highlight w:val="none"/>
        </w:rPr>
      </w:pPr>
    </w:p>
    <w:p>
      <w:pPr>
        <w:spacing w:before="156" w:beforeLines="50" w:after="156" w:afterLines="50" w:line="440" w:lineRule="exact"/>
        <w:ind w:firstLine="480" w:firstLineChars="200"/>
        <w:outlineLvl w:val="0"/>
        <w:rPr>
          <w:color w:val="auto"/>
          <w:highlight w:val="none"/>
        </w:rPr>
      </w:pPr>
      <w:r>
        <w:rPr>
          <w:rFonts w:hint="eastAsia" w:hAnsi="宋体" w:eastAsia="宋体"/>
          <w:color w:val="auto"/>
          <w:sz w:val="24"/>
          <w:highlight w:val="none"/>
        </w:rPr>
        <w:t>解决的主要问题：一方面</w:t>
      </w:r>
      <w:r>
        <w:rPr>
          <w:rFonts w:hAnsi="宋体" w:eastAsia="宋体"/>
          <w:color w:val="auto"/>
          <w:sz w:val="24"/>
          <w:highlight w:val="none"/>
        </w:rPr>
        <w:t>高效化、轻量化、节能化和环保化将是机械行业发展的必然趋势，</w:t>
      </w:r>
      <w:r>
        <w:rPr>
          <w:rFonts w:hint="eastAsia" w:hAnsi="宋体" w:eastAsia="宋体"/>
          <w:color w:val="auto"/>
          <w:sz w:val="24"/>
          <w:highlight w:val="none"/>
        </w:rPr>
        <w:t>对球墨铸铁材料性能和可靠性提出更高要求；另一方面</w:t>
      </w:r>
      <w:r>
        <w:rPr>
          <w:rFonts w:hAnsi="宋体" w:eastAsia="宋体"/>
          <w:color w:val="auto"/>
          <w:sz w:val="24"/>
          <w:highlight w:val="none"/>
        </w:rPr>
        <w:t>随着</w:t>
      </w:r>
      <w:r>
        <w:rPr>
          <w:rFonts w:hint="eastAsia" w:hAnsi="宋体" w:eastAsia="宋体"/>
          <w:color w:val="auto"/>
          <w:sz w:val="24"/>
          <w:highlight w:val="none"/>
        </w:rPr>
        <w:t>高强度</w:t>
      </w:r>
      <w:r>
        <w:rPr>
          <w:rFonts w:hAnsi="宋体" w:eastAsia="宋体"/>
          <w:color w:val="auto"/>
          <w:sz w:val="24"/>
          <w:highlight w:val="none"/>
        </w:rPr>
        <w:t>高塑性球墨铸铁件生产工艺的大幅度提升，</w:t>
      </w:r>
      <w:r>
        <w:rPr>
          <w:rFonts w:hint="eastAsia" w:hAnsi="宋体" w:eastAsia="宋体"/>
          <w:color w:val="auto"/>
          <w:sz w:val="24"/>
          <w:highlight w:val="none"/>
        </w:rPr>
        <w:t>应用越来越广，但</w:t>
      </w:r>
      <w:r>
        <w:rPr>
          <w:rFonts w:hAnsi="宋体" w:eastAsia="宋体"/>
          <w:color w:val="auto"/>
          <w:sz w:val="24"/>
          <w:highlight w:val="none"/>
        </w:rPr>
        <w:t>在GB/T 1348-2019《球墨铸铁件》国家标准中没有体现，无法全面的提供给工程设计单位使用参考的技术规范信息，影响了该材料的广泛推广和发展。</w:t>
      </w:r>
      <w:r>
        <w:rPr>
          <w:rFonts w:hint="eastAsia" w:hAnsi="宋体" w:eastAsia="宋体"/>
          <w:color w:val="auto"/>
          <w:sz w:val="24"/>
          <w:highlight w:val="none"/>
        </w:rPr>
        <w:t>本文件</w:t>
      </w:r>
      <w:r>
        <w:rPr>
          <w:rFonts w:hAnsi="宋体" w:eastAsia="宋体"/>
          <w:color w:val="auto"/>
          <w:sz w:val="24"/>
          <w:highlight w:val="none"/>
        </w:rPr>
        <w:t>解决了</w:t>
      </w:r>
      <w:r>
        <w:rPr>
          <w:rFonts w:hint="eastAsia" w:hAnsi="宋体" w:eastAsia="宋体"/>
          <w:color w:val="auto"/>
          <w:sz w:val="24"/>
          <w:highlight w:val="none"/>
        </w:rPr>
        <w:t>高强度</w:t>
      </w:r>
      <w:r>
        <w:rPr>
          <w:rFonts w:hAnsi="宋体" w:eastAsia="宋体"/>
          <w:color w:val="auto"/>
          <w:sz w:val="24"/>
          <w:highlight w:val="none"/>
        </w:rPr>
        <w:t>高塑性球墨铸铁、固溶强化铁素体球墨铸铁球铁、等温淬火球墨铸铁等牌号不统一的问题，为铸造企业生产</w:t>
      </w:r>
      <w:r>
        <w:rPr>
          <w:rFonts w:hint="eastAsia" w:hAnsi="宋体" w:eastAsia="宋体"/>
          <w:color w:val="auto"/>
          <w:sz w:val="24"/>
          <w:highlight w:val="none"/>
        </w:rPr>
        <w:t>高强度</w:t>
      </w:r>
      <w:r>
        <w:rPr>
          <w:rFonts w:hAnsi="宋体" w:eastAsia="宋体"/>
          <w:color w:val="auto"/>
          <w:sz w:val="24"/>
          <w:highlight w:val="none"/>
        </w:rPr>
        <w:t>高塑性球墨铸铁制定了标准，为机械、汽车等生产厂家提供质量验收依据，促进</w:t>
      </w:r>
      <w:r>
        <w:rPr>
          <w:rFonts w:hint="eastAsia" w:hAnsi="宋体" w:eastAsia="宋体"/>
          <w:color w:val="auto"/>
          <w:sz w:val="24"/>
          <w:highlight w:val="none"/>
        </w:rPr>
        <w:t>高强度</w:t>
      </w:r>
      <w:r>
        <w:rPr>
          <w:rFonts w:hAnsi="宋体" w:eastAsia="宋体"/>
          <w:color w:val="auto"/>
          <w:sz w:val="24"/>
          <w:highlight w:val="none"/>
        </w:rPr>
        <w:t>高塑性球墨铸铁整体水平的提高，为实现标准化和现代化的生产创造条件；</w:t>
      </w:r>
      <w:r>
        <w:rPr>
          <w:rFonts w:hint="eastAsia" w:hAnsi="宋体" w:eastAsia="宋体"/>
          <w:color w:val="auto"/>
          <w:sz w:val="24"/>
          <w:highlight w:val="none"/>
        </w:rPr>
        <w:t>同时更好更权威地为工程设计人员提供设计参考，</w:t>
      </w:r>
      <w:r>
        <w:rPr>
          <w:rFonts w:hAnsi="宋体" w:eastAsia="宋体"/>
          <w:color w:val="auto"/>
          <w:sz w:val="24"/>
          <w:highlight w:val="none"/>
        </w:rPr>
        <w:t>对推动</w:t>
      </w:r>
      <w:r>
        <w:rPr>
          <w:rFonts w:hint="eastAsia" w:hAnsi="宋体" w:eastAsia="宋体"/>
          <w:color w:val="auto"/>
          <w:sz w:val="24"/>
          <w:highlight w:val="none"/>
        </w:rPr>
        <w:t>高强度</w:t>
      </w:r>
      <w:r>
        <w:rPr>
          <w:rFonts w:hAnsi="宋体" w:eastAsia="宋体"/>
          <w:color w:val="auto"/>
          <w:sz w:val="24"/>
          <w:highlight w:val="none"/>
        </w:rPr>
        <w:t>高塑性球墨铸铁行业快速高效发展具有重要意义。</w:t>
      </w:r>
    </w:p>
    <w:p>
      <w:pPr>
        <w:spacing w:before="156" w:beforeLines="50" w:after="156" w:afterLines="50" w:line="440" w:lineRule="exact"/>
        <w:ind w:firstLine="482" w:firstLineChars="200"/>
        <w:rPr>
          <w:rFonts w:ascii="黑体" w:hAnsi="宋体" w:eastAsia="黑体"/>
          <w:b/>
          <w:color w:val="auto"/>
          <w:sz w:val="24"/>
          <w:szCs w:val="24"/>
          <w:highlight w:val="none"/>
        </w:rPr>
      </w:pPr>
      <w:r>
        <w:rPr>
          <w:rFonts w:hint="eastAsia" w:ascii="黑体" w:hAnsi="宋体" w:eastAsia="黑体"/>
          <w:b/>
          <w:color w:val="auto"/>
          <w:sz w:val="24"/>
          <w:szCs w:val="24"/>
          <w:highlight w:val="none"/>
        </w:rPr>
        <w:t>6.主要试验（或验证）结果的分析报告、技术经济论证，预期达到的经济效果等</w:t>
      </w:r>
    </w:p>
    <w:p>
      <w:pPr>
        <w:spacing w:before="156" w:beforeLines="50" w:after="156" w:afterLines="50" w:line="440" w:lineRule="exact"/>
        <w:ind w:firstLine="480" w:firstLineChars="200"/>
        <w:rPr>
          <w:rFonts w:ascii="黑体" w:hAnsi="宋体" w:eastAsia="黑体"/>
          <w:color w:val="auto"/>
          <w:sz w:val="24"/>
          <w:szCs w:val="24"/>
          <w:highlight w:val="none"/>
        </w:rPr>
      </w:pPr>
      <w:r>
        <w:rPr>
          <w:rFonts w:hint="eastAsia" w:ascii="黑体" w:hAnsi="宋体" w:eastAsia="黑体"/>
          <w:color w:val="auto"/>
          <w:sz w:val="24"/>
          <w:szCs w:val="24"/>
          <w:highlight w:val="none"/>
        </w:rPr>
        <w:t>1）针对标准确定的主要内容提出相应的试验、验证、统计数据等论据，</w:t>
      </w:r>
      <w:r>
        <w:rPr>
          <w:rFonts w:hint="eastAsia" w:ascii="黑体" w:hAnsi="黑体" w:eastAsia="黑体"/>
          <w:i/>
          <w:color w:val="auto"/>
          <w:sz w:val="24"/>
          <w:szCs w:val="24"/>
          <w:highlight w:val="none"/>
        </w:rPr>
        <w:t>应将检验报告、试生产验证报告等的扫描件作为附件附后</w:t>
      </w:r>
      <w:r>
        <w:rPr>
          <w:rFonts w:hint="eastAsia" w:ascii="黑体" w:hAnsi="宋体" w:eastAsia="黑体"/>
          <w:color w:val="auto"/>
          <w:sz w:val="24"/>
          <w:szCs w:val="24"/>
          <w:highlight w:val="none"/>
        </w:rPr>
        <w:t>）</w:t>
      </w:r>
    </w:p>
    <w:p>
      <w:pPr>
        <w:spacing w:before="50" w:after="50" w:line="440" w:lineRule="exact"/>
        <w:ind w:firstLine="480" w:firstLineChars="200"/>
        <w:rPr>
          <w:rFonts w:ascii="黑体" w:hAnsi="宋体" w:eastAsia="黑体"/>
          <w:color w:val="auto"/>
          <w:sz w:val="24"/>
          <w:szCs w:val="24"/>
          <w:highlight w:val="none"/>
        </w:rPr>
      </w:pPr>
      <w:r>
        <w:rPr>
          <w:rFonts w:hint="eastAsia" w:ascii="黑体" w:hAnsi="宋体" w:eastAsia="黑体"/>
          <w:color w:val="auto"/>
          <w:sz w:val="24"/>
          <w:szCs w:val="24"/>
          <w:highlight w:val="none"/>
        </w:rPr>
        <w:t>2）主要试验（或验证）数据分析结果</w:t>
      </w:r>
    </w:p>
    <w:p>
      <w:pPr>
        <w:spacing w:before="156" w:beforeLines="50" w:after="156" w:afterLines="50" w:line="440" w:lineRule="exact"/>
        <w:ind w:firstLine="480" w:firstLineChars="200"/>
        <w:outlineLvl w:val="0"/>
        <w:rPr>
          <w:rFonts w:hAnsi="宋体" w:eastAsia="宋体"/>
          <w:color w:val="auto"/>
          <w:sz w:val="24"/>
          <w:highlight w:val="none"/>
        </w:rPr>
      </w:pPr>
      <w:r>
        <w:rPr>
          <w:rFonts w:hint="eastAsia" w:hAnsi="宋体" w:eastAsia="宋体"/>
          <w:color w:val="auto"/>
          <w:sz w:val="24"/>
          <w:highlight w:val="none"/>
        </w:rPr>
        <w:t>（1）QT700-8牌号</w:t>
      </w:r>
    </w:p>
    <w:p>
      <w:pPr>
        <w:spacing w:before="156" w:beforeLines="50" w:after="156" w:afterLines="50" w:line="440" w:lineRule="exact"/>
        <w:ind w:firstLine="480" w:firstLineChars="200"/>
        <w:outlineLvl w:val="0"/>
        <w:rPr>
          <w:rFonts w:hAnsi="宋体" w:eastAsia="宋体"/>
          <w:color w:val="auto"/>
          <w:sz w:val="24"/>
          <w:highlight w:val="none"/>
        </w:rPr>
      </w:pPr>
      <w:r>
        <w:rPr>
          <w:rFonts w:hint="eastAsia" w:hAnsi="宋体" w:eastAsia="宋体"/>
          <w:color w:val="auto"/>
          <w:sz w:val="24"/>
          <w:highlight w:val="none"/>
        </w:rPr>
        <w:t>QT700-8企业二，铁型覆砂工艺，铸态本体试样，主要壁厚12-30mm，有效试验数据9组，平均抗拉强度Rm832MPa、屈服强度562MPa、伸长率A 8.9%，达到牌号要求，不合格数据1组，数据达标率为88.89%。下表为企业二试验拉伸性能数据。</w:t>
      </w:r>
    </w:p>
    <w:tbl>
      <w:tblPr>
        <w:tblStyle w:val="6"/>
        <w:tblW w:w="3963" w:type="dxa"/>
        <w:jc w:val="center"/>
        <w:tblLayout w:type="autofit"/>
        <w:tblCellMar>
          <w:top w:w="0" w:type="dxa"/>
          <w:left w:w="108" w:type="dxa"/>
          <w:bottom w:w="0" w:type="dxa"/>
          <w:right w:w="108" w:type="dxa"/>
        </w:tblCellMar>
      </w:tblPr>
      <w:tblGrid>
        <w:gridCol w:w="732"/>
        <w:gridCol w:w="1078"/>
        <w:gridCol w:w="1094"/>
        <w:gridCol w:w="1059"/>
      </w:tblGrid>
      <w:tr>
        <w:tblPrEx>
          <w:tblCellMar>
            <w:top w:w="0" w:type="dxa"/>
            <w:left w:w="108" w:type="dxa"/>
            <w:bottom w:w="0" w:type="dxa"/>
            <w:right w:w="108" w:type="dxa"/>
          </w:tblCellMar>
        </w:tblPrEx>
        <w:trPr>
          <w:trHeight w:val="645" w:hRule="atLeast"/>
          <w:jc w:val="center"/>
        </w:trPr>
        <w:tc>
          <w:tcPr>
            <w:tcW w:w="732" w:type="dxa"/>
            <w:tcBorders>
              <w:top w:val="single" w:color="000000" w:sz="4" w:space="0"/>
              <w:left w:val="single" w:color="000000" w:sz="4" w:space="0"/>
              <w:bottom w:val="single" w:color="000000" w:sz="4" w:space="0"/>
              <w:right w:val="nil"/>
            </w:tcBorders>
            <w:shd w:val="clear" w:color="auto" w:fill="FFFFFF"/>
            <w:noWrap/>
            <w:vAlign w:val="center"/>
          </w:tcPr>
          <w:p>
            <w:pPr>
              <w:widowControl/>
              <w:jc w:val="center"/>
              <w:textAlignment w:val="center"/>
              <w:rPr>
                <w:rFonts w:ascii="宋体" w:hAnsi="宋体" w:eastAsia="宋体" w:cs="宋体"/>
                <w:color w:val="auto"/>
                <w:sz w:val="16"/>
                <w:szCs w:val="16"/>
                <w:highlight w:val="none"/>
              </w:rPr>
            </w:pPr>
            <w:r>
              <w:rPr>
                <w:rFonts w:hint="eastAsia" w:ascii="宋体" w:hAnsi="宋体" w:eastAsia="宋体" w:cs="宋体"/>
                <w:color w:val="auto"/>
                <w:kern w:val="0"/>
                <w:sz w:val="16"/>
                <w:szCs w:val="16"/>
                <w:highlight w:val="none"/>
                <w:lang w:bidi="ar"/>
              </w:rPr>
              <w:t>序号</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auto"/>
                <w:sz w:val="16"/>
                <w:szCs w:val="16"/>
                <w:highlight w:val="none"/>
              </w:rPr>
            </w:pPr>
            <w:r>
              <w:rPr>
                <w:rFonts w:hint="eastAsia" w:ascii="宋体" w:hAnsi="宋体" w:eastAsia="宋体" w:cs="宋体"/>
                <w:color w:val="auto"/>
                <w:kern w:val="0"/>
                <w:sz w:val="16"/>
                <w:szCs w:val="16"/>
                <w:highlight w:val="none"/>
                <w:lang w:bidi="ar"/>
              </w:rPr>
              <w:t>抗拉强度</w:t>
            </w:r>
            <w:r>
              <w:rPr>
                <w:rStyle w:val="22"/>
                <w:rFonts w:eastAsia="宋体"/>
                <w:color w:val="auto"/>
                <w:sz w:val="16"/>
                <w:szCs w:val="16"/>
                <w:highlight w:val="none"/>
                <w:lang w:bidi="ar"/>
              </w:rPr>
              <w:t>R</w:t>
            </w:r>
            <w:r>
              <w:rPr>
                <w:rStyle w:val="23"/>
                <w:rFonts w:eastAsia="宋体"/>
                <w:color w:val="auto"/>
                <w:sz w:val="16"/>
                <w:szCs w:val="16"/>
                <w:highlight w:val="none"/>
                <w:lang w:bidi="ar"/>
              </w:rPr>
              <w:t>m</w:t>
            </w:r>
            <w:r>
              <w:rPr>
                <w:rStyle w:val="22"/>
                <w:rFonts w:eastAsia="宋体"/>
                <w:color w:val="auto"/>
                <w:sz w:val="16"/>
                <w:szCs w:val="16"/>
                <w:highlight w:val="none"/>
                <w:lang w:bidi="ar"/>
              </w:rPr>
              <w:t>/MPa</w:t>
            </w:r>
          </w:p>
        </w:tc>
        <w:tc>
          <w:tcPr>
            <w:tcW w:w="10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auto"/>
                <w:sz w:val="16"/>
                <w:szCs w:val="16"/>
                <w:highlight w:val="none"/>
              </w:rPr>
            </w:pPr>
            <w:r>
              <w:rPr>
                <w:rFonts w:hint="eastAsia" w:ascii="宋体" w:hAnsi="宋体" w:eastAsia="宋体" w:cs="宋体"/>
                <w:color w:val="auto"/>
                <w:kern w:val="0"/>
                <w:sz w:val="16"/>
                <w:szCs w:val="16"/>
                <w:highlight w:val="none"/>
                <w:lang w:bidi="ar"/>
              </w:rPr>
              <w:t>屈服强度</w:t>
            </w:r>
            <w:r>
              <w:rPr>
                <w:rStyle w:val="22"/>
                <w:rFonts w:eastAsia="宋体"/>
                <w:color w:val="auto"/>
                <w:sz w:val="16"/>
                <w:szCs w:val="16"/>
                <w:highlight w:val="none"/>
                <w:lang w:bidi="ar"/>
              </w:rPr>
              <w:t>R</w:t>
            </w:r>
            <w:r>
              <w:rPr>
                <w:rStyle w:val="23"/>
                <w:rFonts w:eastAsia="宋体"/>
                <w:color w:val="auto"/>
                <w:sz w:val="16"/>
                <w:szCs w:val="16"/>
                <w:highlight w:val="none"/>
                <w:lang w:bidi="ar"/>
              </w:rPr>
              <w:t>p0.2</w:t>
            </w:r>
            <w:r>
              <w:rPr>
                <w:rStyle w:val="22"/>
                <w:rFonts w:eastAsia="宋体"/>
                <w:color w:val="auto"/>
                <w:sz w:val="16"/>
                <w:szCs w:val="16"/>
                <w:highlight w:val="none"/>
                <w:lang w:bidi="ar"/>
              </w:rPr>
              <w:t>/MPa</w:t>
            </w:r>
          </w:p>
        </w:tc>
        <w:tc>
          <w:tcPr>
            <w:tcW w:w="10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auto"/>
                <w:sz w:val="16"/>
                <w:szCs w:val="16"/>
                <w:highlight w:val="none"/>
              </w:rPr>
            </w:pPr>
            <w:r>
              <w:rPr>
                <w:rFonts w:hint="eastAsia" w:ascii="宋体" w:hAnsi="宋体" w:eastAsia="宋体" w:cs="宋体"/>
                <w:color w:val="auto"/>
                <w:kern w:val="0"/>
                <w:sz w:val="16"/>
                <w:szCs w:val="16"/>
                <w:highlight w:val="none"/>
                <w:lang w:bidi="ar"/>
              </w:rPr>
              <w:t>伸长率</w:t>
            </w:r>
            <w:r>
              <w:rPr>
                <w:rStyle w:val="22"/>
                <w:rFonts w:eastAsia="宋体"/>
                <w:color w:val="auto"/>
                <w:sz w:val="16"/>
                <w:szCs w:val="16"/>
                <w:highlight w:val="none"/>
                <w:lang w:bidi="ar"/>
              </w:rPr>
              <w:t>A/%</w:t>
            </w:r>
          </w:p>
        </w:tc>
      </w:tr>
      <w:tr>
        <w:tblPrEx>
          <w:tblCellMar>
            <w:top w:w="0" w:type="dxa"/>
            <w:left w:w="108" w:type="dxa"/>
            <w:bottom w:w="0" w:type="dxa"/>
            <w:right w:w="108" w:type="dxa"/>
          </w:tblCellMar>
        </w:tblPrEx>
        <w:trPr>
          <w:trHeight w:val="284" w:hRule="atLeast"/>
          <w:jc w:val="center"/>
        </w:trPr>
        <w:tc>
          <w:tcPr>
            <w:tcW w:w="73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auto"/>
                <w:sz w:val="16"/>
                <w:szCs w:val="16"/>
                <w:highlight w:val="none"/>
              </w:rPr>
            </w:pPr>
            <w:r>
              <w:rPr>
                <w:rFonts w:hint="eastAsia" w:ascii="宋体" w:hAnsi="宋体" w:eastAsia="宋体" w:cs="宋体"/>
                <w:color w:val="auto"/>
                <w:kern w:val="0"/>
                <w:sz w:val="16"/>
                <w:szCs w:val="16"/>
                <w:highlight w:val="none"/>
                <w:lang w:bidi="ar"/>
              </w:rPr>
              <w:t>1</w:t>
            </w:r>
          </w:p>
        </w:tc>
        <w:tc>
          <w:tcPr>
            <w:tcW w:w="107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等线" w:hAnsi="等线" w:eastAsia="等线" w:cs="等线"/>
                <w:color w:val="auto"/>
                <w:sz w:val="16"/>
                <w:szCs w:val="16"/>
                <w:highlight w:val="none"/>
              </w:rPr>
            </w:pPr>
            <w:r>
              <w:rPr>
                <w:rFonts w:ascii="等线" w:hAnsi="等线" w:eastAsia="等线" w:cs="等线"/>
                <w:color w:val="auto"/>
                <w:kern w:val="0"/>
                <w:sz w:val="16"/>
                <w:szCs w:val="16"/>
                <w:highlight w:val="none"/>
                <w:lang w:bidi="ar"/>
              </w:rPr>
              <w:t>798.9</w:t>
            </w:r>
          </w:p>
        </w:tc>
        <w:tc>
          <w:tcPr>
            <w:tcW w:w="109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等线" w:hAnsi="等线" w:eastAsia="等线" w:cs="等线"/>
                <w:color w:val="auto"/>
                <w:sz w:val="16"/>
                <w:szCs w:val="16"/>
                <w:highlight w:val="none"/>
              </w:rPr>
            </w:pPr>
            <w:r>
              <w:rPr>
                <w:rFonts w:ascii="等线" w:hAnsi="等线" w:eastAsia="等线" w:cs="等线"/>
                <w:color w:val="auto"/>
                <w:kern w:val="0"/>
                <w:sz w:val="16"/>
                <w:szCs w:val="16"/>
                <w:highlight w:val="none"/>
                <w:lang w:bidi="ar"/>
              </w:rPr>
              <w:t>548.8</w:t>
            </w:r>
          </w:p>
        </w:tc>
        <w:tc>
          <w:tcPr>
            <w:tcW w:w="10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等线" w:hAnsi="等线" w:eastAsia="等线" w:cs="等线"/>
                <w:color w:val="auto"/>
                <w:sz w:val="16"/>
                <w:szCs w:val="16"/>
                <w:highlight w:val="none"/>
              </w:rPr>
            </w:pPr>
            <w:r>
              <w:rPr>
                <w:rFonts w:ascii="等线" w:hAnsi="等线" w:eastAsia="等线" w:cs="等线"/>
                <w:color w:val="auto"/>
                <w:kern w:val="0"/>
                <w:sz w:val="16"/>
                <w:szCs w:val="16"/>
                <w:highlight w:val="none"/>
                <w:lang w:bidi="ar"/>
              </w:rPr>
              <w:t xml:space="preserve">8.80 </w:t>
            </w:r>
          </w:p>
        </w:tc>
      </w:tr>
      <w:tr>
        <w:tblPrEx>
          <w:tblCellMar>
            <w:top w:w="0" w:type="dxa"/>
            <w:left w:w="108" w:type="dxa"/>
            <w:bottom w:w="0" w:type="dxa"/>
            <w:right w:w="108" w:type="dxa"/>
          </w:tblCellMar>
        </w:tblPrEx>
        <w:trPr>
          <w:trHeight w:val="205" w:hRule="atLeast"/>
          <w:jc w:val="center"/>
        </w:trPr>
        <w:tc>
          <w:tcPr>
            <w:tcW w:w="73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auto"/>
                <w:sz w:val="16"/>
                <w:szCs w:val="16"/>
                <w:highlight w:val="none"/>
              </w:rPr>
            </w:pPr>
            <w:r>
              <w:rPr>
                <w:rFonts w:hint="eastAsia" w:ascii="宋体" w:hAnsi="宋体" w:eastAsia="宋体" w:cs="宋体"/>
                <w:color w:val="auto"/>
                <w:kern w:val="0"/>
                <w:sz w:val="16"/>
                <w:szCs w:val="16"/>
                <w:highlight w:val="none"/>
                <w:lang w:bidi="ar"/>
              </w:rPr>
              <w:t>2</w:t>
            </w:r>
          </w:p>
        </w:tc>
        <w:tc>
          <w:tcPr>
            <w:tcW w:w="107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等线" w:hAnsi="等线" w:eastAsia="等线" w:cs="等线"/>
                <w:color w:val="auto"/>
                <w:sz w:val="16"/>
                <w:szCs w:val="16"/>
                <w:highlight w:val="none"/>
              </w:rPr>
            </w:pPr>
            <w:r>
              <w:rPr>
                <w:rFonts w:ascii="等线" w:hAnsi="等线" w:eastAsia="等线" w:cs="等线"/>
                <w:color w:val="auto"/>
                <w:kern w:val="0"/>
                <w:sz w:val="16"/>
                <w:szCs w:val="16"/>
                <w:highlight w:val="none"/>
                <w:lang w:bidi="ar"/>
              </w:rPr>
              <w:t>812.5</w:t>
            </w:r>
          </w:p>
        </w:tc>
        <w:tc>
          <w:tcPr>
            <w:tcW w:w="109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等线" w:hAnsi="等线" w:eastAsia="等线" w:cs="等线"/>
                <w:color w:val="auto"/>
                <w:sz w:val="16"/>
                <w:szCs w:val="16"/>
                <w:highlight w:val="none"/>
              </w:rPr>
            </w:pPr>
            <w:r>
              <w:rPr>
                <w:rFonts w:ascii="等线" w:hAnsi="等线" w:eastAsia="等线" w:cs="等线"/>
                <w:color w:val="auto"/>
                <w:kern w:val="0"/>
                <w:sz w:val="16"/>
                <w:szCs w:val="16"/>
                <w:highlight w:val="none"/>
                <w:lang w:bidi="ar"/>
              </w:rPr>
              <w:t>549.7</w:t>
            </w:r>
          </w:p>
        </w:tc>
        <w:tc>
          <w:tcPr>
            <w:tcW w:w="10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等线" w:hAnsi="等线" w:eastAsia="等线" w:cs="等线"/>
                <w:color w:val="auto"/>
                <w:sz w:val="16"/>
                <w:szCs w:val="16"/>
                <w:highlight w:val="none"/>
              </w:rPr>
            </w:pPr>
            <w:r>
              <w:rPr>
                <w:rFonts w:ascii="等线" w:hAnsi="等线" w:eastAsia="等线" w:cs="等线"/>
                <w:color w:val="auto"/>
                <w:kern w:val="0"/>
                <w:sz w:val="16"/>
                <w:szCs w:val="16"/>
                <w:highlight w:val="none"/>
                <w:lang w:bidi="ar"/>
              </w:rPr>
              <w:t xml:space="preserve">10.00 </w:t>
            </w:r>
          </w:p>
        </w:tc>
      </w:tr>
      <w:tr>
        <w:tblPrEx>
          <w:tblCellMar>
            <w:top w:w="0" w:type="dxa"/>
            <w:left w:w="108" w:type="dxa"/>
            <w:bottom w:w="0" w:type="dxa"/>
            <w:right w:w="108" w:type="dxa"/>
          </w:tblCellMar>
        </w:tblPrEx>
        <w:trPr>
          <w:trHeight w:val="187" w:hRule="atLeast"/>
          <w:jc w:val="center"/>
        </w:trPr>
        <w:tc>
          <w:tcPr>
            <w:tcW w:w="73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auto"/>
                <w:sz w:val="16"/>
                <w:szCs w:val="16"/>
                <w:highlight w:val="none"/>
              </w:rPr>
            </w:pPr>
            <w:r>
              <w:rPr>
                <w:rFonts w:hint="eastAsia" w:ascii="宋体" w:hAnsi="宋体" w:eastAsia="宋体" w:cs="宋体"/>
                <w:color w:val="auto"/>
                <w:kern w:val="0"/>
                <w:sz w:val="16"/>
                <w:szCs w:val="16"/>
                <w:highlight w:val="none"/>
                <w:lang w:bidi="ar"/>
              </w:rPr>
              <w:t>3</w:t>
            </w:r>
          </w:p>
        </w:tc>
        <w:tc>
          <w:tcPr>
            <w:tcW w:w="107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等线" w:hAnsi="等线" w:eastAsia="等线" w:cs="等线"/>
                <w:color w:val="auto"/>
                <w:sz w:val="16"/>
                <w:szCs w:val="16"/>
                <w:highlight w:val="none"/>
              </w:rPr>
            </w:pPr>
            <w:r>
              <w:rPr>
                <w:rFonts w:ascii="等线" w:hAnsi="等线" w:eastAsia="等线" w:cs="等线"/>
                <w:color w:val="auto"/>
                <w:kern w:val="0"/>
                <w:sz w:val="16"/>
                <w:szCs w:val="16"/>
                <w:highlight w:val="none"/>
                <w:lang w:bidi="ar"/>
              </w:rPr>
              <w:t>824</w:t>
            </w:r>
          </w:p>
        </w:tc>
        <w:tc>
          <w:tcPr>
            <w:tcW w:w="109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等线" w:hAnsi="等线" w:eastAsia="等线" w:cs="等线"/>
                <w:color w:val="auto"/>
                <w:sz w:val="16"/>
                <w:szCs w:val="16"/>
                <w:highlight w:val="none"/>
              </w:rPr>
            </w:pPr>
            <w:r>
              <w:rPr>
                <w:rFonts w:ascii="等线" w:hAnsi="等线" w:eastAsia="等线" w:cs="等线"/>
                <w:color w:val="auto"/>
                <w:kern w:val="0"/>
                <w:sz w:val="16"/>
                <w:szCs w:val="16"/>
                <w:highlight w:val="none"/>
                <w:lang w:bidi="ar"/>
              </w:rPr>
              <w:t>555.6</w:t>
            </w:r>
          </w:p>
        </w:tc>
        <w:tc>
          <w:tcPr>
            <w:tcW w:w="10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等线" w:hAnsi="等线" w:eastAsia="等线" w:cs="等线"/>
                <w:color w:val="auto"/>
                <w:sz w:val="16"/>
                <w:szCs w:val="16"/>
                <w:highlight w:val="none"/>
              </w:rPr>
            </w:pPr>
            <w:r>
              <w:rPr>
                <w:rFonts w:ascii="等线" w:hAnsi="等线" w:eastAsia="等线" w:cs="等线"/>
                <w:color w:val="auto"/>
                <w:kern w:val="0"/>
                <w:sz w:val="16"/>
                <w:szCs w:val="16"/>
                <w:highlight w:val="none"/>
                <w:lang w:bidi="ar"/>
              </w:rPr>
              <w:t xml:space="preserve">9.20 </w:t>
            </w:r>
          </w:p>
        </w:tc>
      </w:tr>
      <w:tr>
        <w:tblPrEx>
          <w:tblCellMar>
            <w:top w:w="0" w:type="dxa"/>
            <w:left w:w="108" w:type="dxa"/>
            <w:bottom w:w="0" w:type="dxa"/>
            <w:right w:w="108" w:type="dxa"/>
          </w:tblCellMar>
        </w:tblPrEx>
        <w:trPr>
          <w:trHeight w:val="240" w:hRule="atLeast"/>
          <w:jc w:val="center"/>
        </w:trPr>
        <w:tc>
          <w:tcPr>
            <w:tcW w:w="73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auto"/>
                <w:sz w:val="16"/>
                <w:szCs w:val="16"/>
                <w:highlight w:val="none"/>
              </w:rPr>
            </w:pPr>
            <w:r>
              <w:rPr>
                <w:rFonts w:hint="eastAsia" w:ascii="宋体" w:hAnsi="宋体" w:eastAsia="宋体" w:cs="宋体"/>
                <w:color w:val="auto"/>
                <w:kern w:val="0"/>
                <w:sz w:val="16"/>
                <w:szCs w:val="16"/>
                <w:highlight w:val="none"/>
                <w:lang w:bidi="ar"/>
              </w:rPr>
              <w:t>4</w:t>
            </w:r>
          </w:p>
        </w:tc>
        <w:tc>
          <w:tcPr>
            <w:tcW w:w="107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等线" w:hAnsi="等线" w:eastAsia="等线" w:cs="等线"/>
                <w:color w:val="auto"/>
                <w:sz w:val="16"/>
                <w:szCs w:val="16"/>
                <w:highlight w:val="none"/>
              </w:rPr>
            </w:pPr>
            <w:r>
              <w:rPr>
                <w:rFonts w:ascii="等线" w:hAnsi="等线" w:eastAsia="等线" w:cs="等线"/>
                <w:color w:val="auto"/>
                <w:kern w:val="0"/>
                <w:sz w:val="16"/>
                <w:szCs w:val="16"/>
                <w:highlight w:val="none"/>
                <w:lang w:bidi="ar"/>
              </w:rPr>
              <w:t>829.2</w:t>
            </w:r>
          </w:p>
        </w:tc>
        <w:tc>
          <w:tcPr>
            <w:tcW w:w="109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等线" w:hAnsi="等线" w:eastAsia="等线" w:cs="等线"/>
                <w:color w:val="auto"/>
                <w:sz w:val="16"/>
                <w:szCs w:val="16"/>
                <w:highlight w:val="none"/>
              </w:rPr>
            </w:pPr>
            <w:r>
              <w:rPr>
                <w:rFonts w:ascii="等线" w:hAnsi="等线" w:eastAsia="等线" w:cs="等线"/>
                <w:color w:val="auto"/>
                <w:kern w:val="0"/>
                <w:sz w:val="16"/>
                <w:szCs w:val="16"/>
                <w:highlight w:val="none"/>
                <w:lang w:bidi="ar"/>
              </w:rPr>
              <w:t>617.2</w:t>
            </w:r>
          </w:p>
        </w:tc>
        <w:tc>
          <w:tcPr>
            <w:tcW w:w="10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等线" w:hAnsi="等线" w:eastAsia="等线" w:cs="等线"/>
                <w:color w:val="auto"/>
                <w:sz w:val="16"/>
                <w:szCs w:val="16"/>
                <w:highlight w:val="none"/>
              </w:rPr>
            </w:pPr>
            <w:r>
              <w:rPr>
                <w:rFonts w:ascii="等线" w:hAnsi="等线" w:eastAsia="等线" w:cs="等线"/>
                <w:color w:val="auto"/>
                <w:kern w:val="0"/>
                <w:sz w:val="16"/>
                <w:szCs w:val="16"/>
                <w:highlight w:val="none"/>
                <w:lang w:bidi="ar"/>
              </w:rPr>
              <w:t xml:space="preserve">8.40 </w:t>
            </w:r>
          </w:p>
        </w:tc>
      </w:tr>
      <w:tr>
        <w:tblPrEx>
          <w:tblCellMar>
            <w:top w:w="0" w:type="dxa"/>
            <w:left w:w="108" w:type="dxa"/>
            <w:bottom w:w="0" w:type="dxa"/>
            <w:right w:w="108" w:type="dxa"/>
          </w:tblCellMar>
        </w:tblPrEx>
        <w:trPr>
          <w:trHeight w:val="275" w:hRule="atLeast"/>
          <w:jc w:val="center"/>
        </w:trPr>
        <w:tc>
          <w:tcPr>
            <w:tcW w:w="73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auto"/>
                <w:sz w:val="16"/>
                <w:szCs w:val="16"/>
                <w:highlight w:val="none"/>
              </w:rPr>
            </w:pPr>
            <w:r>
              <w:rPr>
                <w:rFonts w:hint="eastAsia" w:ascii="宋体" w:hAnsi="宋体" w:eastAsia="宋体" w:cs="宋体"/>
                <w:color w:val="auto"/>
                <w:kern w:val="0"/>
                <w:sz w:val="16"/>
                <w:szCs w:val="16"/>
                <w:highlight w:val="none"/>
                <w:lang w:bidi="ar"/>
              </w:rPr>
              <w:t>5</w:t>
            </w:r>
          </w:p>
        </w:tc>
        <w:tc>
          <w:tcPr>
            <w:tcW w:w="107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等线" w:hAnsi="等线" w:eastAsia="等线" w:cs="等线"/>
                <w:color w:val="auto"/>
                <w:sz w:val="16"/>
                <w:szCs w:val="16"/>
                <w:highlight w:val="none"/>
              </w:rPr>
            </w:pPr>
            <w:r>
              <w:rPr>
                <w:rFonts w:ascii="等线" w:hAnsi="等线" w:eastAsia="等线" w:cs="等线"/>
                <w:color w:val="auto"/>
                <w:kern w:val="0"/>
                <w:sz w:val="16"/>
                <w:szCs w:val="16"/>
                <w:highlight w:val="none"/>
                <w:lang w:bidi="ar"/>
              </w:rPr>
              <w:t>800.9</w:t>
            </w:r>
          </w:p>
        </w:tc>
        <w:tc>
          <w:tcPr>
            <w:tcW w:w="109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等线" w:hAnsi="等线" w:eastAsia="等线" w:cs="等线"/>
                <w:color w:val="auto"/>
                <w:sz w:val="16"/>
                <w:szCs w:val="16"/>
                <w:highlight w:val="none"/>
              </w:rPr>
            </w:pPr>
            <w:r>
              <w:rPr>
                <w:rFonts w:ascii="等线" w:hAnsi="等线" w:eastAsia="等线" w:cs="等线"/>
                <w:color w:val="auto"/>
                <w:kern w:val="0"/>
                <w:sz w:val="16"/>
                <w:szCs w:val="16"/>
                <w:highlight w:val="none"/>
                <w:lang w:bidi="ar"/>
              </w:rPr>
              <w:t>637.3</w:t>
            </w:r>
          </w:p>
        </w:tc>
        <w:tc>
          <w:tcPr>
            <w:tcW w:w="10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等线" w:hAnsi="等线" w:eastAsia="等线" w:cs="等线"/>
                <w:color w:val="auto"/>
                <w:sz w:val="16"/>
                <w:szCs w:val="16"/>
                <w:highlight w:val="none"/>
              </w:rPr>
            </w:pPr>
            <w:r>
              <w:rPr>
                <w:rFonts w:ascii="等线" w:hAnsi="等线" w:eastAsia="等线" w:cs="等线"/>
                <w:color w:val="auto"/>
                <w:kern w:val="0"/>
                <w:sz w:val="16"/>
                <w:szCs w:val="16"/>
                <w:highlight w:val="none"/>
                <w:lang w:bidi="ar"/>
              </w:rPr>
              <w:t xml:space="preserve">8.00 </w:t>
            </w:r>
          </w:p>
        </w:tc>
      </w:tr>
      <w:tr>
        <w:tblPrEx>
          <w:tblCellMar>
            <w:top w:w="0" w:type="dxa"/>
            <w:left w:w="108" w:type="dxa"/>
            <w:bottom w:w="0" w:type="dxa"/>
            <w:right w:w="108" w:type="dxa"/>
          </w:tblCellMar>
        </w:tblPrEx>
        <w:trPr>
          <w:trHeight w:val="249" w:hRule="atLeast"/>
          <w:jc w:val="center"/>
        </w:trPr>
        <w:tc>
          <w:tcPr>
            <w:tcW w:w="73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auto"/>
                <w:sz w:val="16"/>
                <w:szCs w:val="16"/>
                <w:highlight w:val="none"/>
              </w:rPr>
            </w:pPr>
            <w:r>
              <w:rPr>
                <w:rFonts w:hint="eastAsia" w:ascii="宋体" w:hAnsi="宋体" w:eastAsia="宋体" w:cs="宋体"/>
                <w:color w:val="auto"/>
                <w:kern w:val="0"/>
                <w:sz w:val="16"/>
                <w:szCs w:val="16"/>
                <w:highlight w:val="none"/>
                <w:lang w:bidi="ar"/>
              </w:rPr>
              <w:t>6</w:t>
            </w:r>
          </w:p>
        </w:tc>
        <w:tc>
          <w:tcPr>
            <w:tcW w:w="107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等线" w:hAnsi="等线" w:eastAsia="等线" w:cs="等线"/>
                <w:color w:val="auto"/>
                <w:sz w:val="16"/>
                <w:szCs w:val="16"/>
                <w:highlight w:val="none"/>
              </w:rPr>
            </w:pPr>
            <w:r>
              <w:rPr>
                <w:rFonts w:ascii="等线" w:hAnsi="等线" w:eastAsia="等线" w:cs="等线"/>
                <w:color w:val="auto"/>
                <w:kern w:val="0"/>
                <w:sz w:val="16"/>
                <w:szCs w:val="16"/>
                <w:highlight w:val="none"/>
                <w:lang w:bidi="ar"/>
              </w:rPr>
              <w:t>803.5</w:t>
            </w:r>
          </w:p>
        </w:tc>
        <w:tc>
          <w:tcPr>
            <w:tcW w:w="109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等线" w:hAnsi="等线" w:eastAsia="等线" w:cs="等线"/>
                <w:color w:val="auto"/>
                <w:sz w:val="16"/>
                <w:szCs w:val="16"/>
                <w:highlight w:val="none"/>
              </w:rPr>
            </w:pPr>
            <w:r>
              <w:rPr>
                <w:rFonts w:ascii="等线" w:hAnsi="等线" w:eastAsia="等线" w:cs="等线"/>
                <w:color w:val="auto"/>
                <w:kern w:val="0"/>
                <w:sz w:val="16"/>
                <w:szCs w:val="16"/>
                <w:highlight w:val="none"/>
                <w:lang w:bidi="ar"/>
              </w:rPr>
              <w:t>536.5</w:t>
            </w:r>
          </w:p>
        </w:tc>
        <w:tc>
          <w:tcPr>
            <w:tcW w:w="10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等线" w:hAnsi="等线" w:eastAsia="等线" w:cs="等线"/>
                <w:color w:val="auto"/>
                <w:sz w:val="16"/>
                <w:szCs w:val="16"/>
                <w:highlight w:val="none"/>
              </w:rPr>
            </w:pPr>
            <w:r>
              <w:rPr>
                <w:rFonts w:ascii="等线" w:hAnsi="等线" w:eastAsia="等线" w:cs="等线"/>
                <w:color w:val="auto"/>
                <w:kern w:val="0"/>
                <w:sz w:val="16"/>
                <w:szCs w:val="16"/>
                <w:highlight w:val="none"/>
                <w:lang w:bidi="ar"/>
              </w:rPr>
              <w:t xml:space="preserve">9.20 </w:t>
            </w:r>
          </w:p>
        </w:tc>
      </w:tr>
      <w:tr>
        <w:tblPrEx>
          <w:tblCellMar>
            <w:top w:w="0" w:type="dxa"/>
            <w:left w:w="108" w:type="dxa"/>
            <w:bottom w:w="0" w:type="dxa"/>
            <w:right w:w="108" w:type="dxa"/>
          </w:tblCellMar>
        </w:tblPrEx>
        <w:trPr>
          <w:trHeight w:val="231" w:hRule="atLeast"/>
          <w:jc w:val="center"/>
        </w:trPr>
        <w:tc>
          <w:tcPr>
            <w:tcW w:w="73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auto"/>
                <w:sz w:val="16"/>
                <w:szCs w:val="16"/>
                <w:highlight w:val="none"/>
              </w:rPr>
            </w:pPr>
            <w:r>
              <w:rPr>
                <w:rFonts w:hint="eastAsia" w:ascii="宋体" w:hAnsi="宋体" w:eastAsia="宋体" w:cs="宋体"/>
                <w:color w:val="auto"/>
                <w:kern w:val="0"/>
                <w:sz w:val="16"/>
                <w:szCs w:val="16"/>
                <w:highlight w:val="none"/>
                <w:lang w:bidi="ar"/>
              </w:rPr>
              <w:t>7</w:t>
            </w:r>
          </w:p>
        </w:tc>
        <w:tc>
          <w:tcPr>
            <w:tcW w:w="107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等线" w:hAnsi="等线" w:eastAsia="等线" w:cs="等线"/>
                <w:color w:val="auto"/>
                <w:sz w:val="16"/>
                <w:szCs w:val="16"/>
                <w:highlight w:val="none"/>
              </w:rPr>
            </w:pPr>
            <w:r>
              <w:rPr>
                <w:rFonts w:ascii="等线" w:hAnsi="等线" w:eastAsia="等线" w:cs="等线"/>
                <w:color w:val="auto"/>
                <w:kern w:val="0"/>
                <w:sz w:val="16"/>
                <w:szCs w:val="16"/>
                <w:highlight w:val="none"/>
                <w:lang w:bidi="ar"/>
              </w:rPr>
              <w:t>855</w:t>
            </w:r>
          </w:p>
        </w:tc>
        <w:tc>
          <w:tcPr>
            <w:tcW w:w="109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等线" w:hAnsi="等线" w:eastAsia="等线" w:cs="等线"/>
                <w:color w:val="auto"/>
                <w:sz w:val="16"/>
                <w:szCs w:val="16"/>
                <w:highlight w:val="none"/>
              </w:rPr>
            </w:pPr>
            <w:r>
              <w:rPr>
                <w:rFonts w:ascii="等线" w:hAnsi="等线" w:eastAsia="等线" w:cs="等线"/>
                <w:color w:val="auto"/>
                <w:kern w:val="0"/>
                <w:sz w:val="16"/>
                <w:szCs w:val="16"/>
                <w:highlight w:val="none"/>
                <w:lang w:bidi="ar"/>
              </w:rPr>
              <w:t>599.4</w:t>
            </w:r>
          </w:p>
        </w:tc>
        <w:tc>
          <w:tcPr>
            <w:tcW w:w="10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等线" w:hAnsi="等线" w:eastAsia="等线" w:cs="等线"/>
                <w:color w:val="auto"/>
                <w:sz w:val="16"/>
                <w:szCs w:val="16"/>
                <w:highlight w:val="none"/>
              </w:rPr>
            </w:pPr>
            <w:r>
              <w:rPr>
                <w:rFonts w:ascii="等线" w:hAnsi="等线" w:eastAsia="等线" w:cs="等线"/>
                <w:color w:val="auto"/>
                <w:kern w:val="0"/>
                <w:sz w:val="16"/>
                <w:szCs w:val="16"/>
                <w:highlight w:val="none"/>
                <w:lang w:bidi="ar"/>
              </w:rPr>
              <w:t xml:space="preserve">8.80 </w:t>
            </w:r>
          </w:p>
        </w:tc>
      </w:tr>
      <w:tr>
        <w:tblPrEx>
          <w:tblCellMar>
            <w:top w:w="0" w:type="dxa"/>
            <w:left w:w="108" w:type="dxa"/>
            <w:bottom w:w="0" w:type="dxa"/>
            <w:right w:w="108" w:type="dxa"/>
          </w:tblCellMar>
        </w:tblPrEx>
        <w:trPr>
          <w:trHeight w:val="213" w:hRule="atLeast"/>
          <w:jc w:val="center"/>
        </w:trPr>
        <w:tc>
          <w:tcPr>
            <w:tcW w:w="73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auto"/>
                <w:sz w:val="16"/>
                <w:szCs w:val="16"/>
                <w:highlight w:val="none"/>
              </w:rPr>
            </w:pPr>
            <w:r>
              <w:rPr>
                <w:rFonts w:hint="eastAsia" w:ascii="宋体" w:hAnsi="宋体" w:eastAsia="宋体" w:cs="宋体"/>
                <w:color w:val="auto"/>
                <w:kern w:val="0"/>
                <w:sz w:val="16"/>
                <w:szCs w:val="16"/>
                <w:highlight w:val="none"/>
                <w:lang w:bidi="ar"/>
              </w:rPr>
              <w:t>8</w:t>
            </w:r>
          </w:p>
        </w:tc>
        <w:tc>
          <w:tcPr>
            <w:tcW w:w="107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等线" w:hAnsi="等线" w:eastAsia="等线" w:cs="等线"/>
                <w:color w:val="auto"/>
                <w:sz w:val="16"/>
                <w:szCs w:val="16"/>
                <w:highlight w:val="none"/>
              </w:rPr>
            </w:pPr>
            <w:r>
              <w:rPr>
                <w:rFonts w:ascii="等线" w:hAnsi="等线" w:eastAsia="等线" w:cs="等线"/>
                <w:color w:val="auto"/>
                <w:kern w:val="0"/>
                <w:sz w:val="16"/>
                <w:szCs w:val="16"/>
                <w:highlight w:val="none"/>
                <w:lang w:bidi="ar"/>
              </w:rPr>
              <w:t>899.5</w:t>
            </w:r>
          </w:p>
        </w:tc>
        <w:tc>
          <w:tcPr>
            <w:tcW w:w="109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等线" w:hAnsi="等线" w:eastAsia="等线" w:cs="等线"/>
                <w:color w:val="auto"/>
                <w:sz w:val="16"/>
                <w:szCs w:val="16"/>
                <w:highlight w:val="none"/>
              </w:rPr>
            </w:pPr>
            <w:r>
              <w:rPr>
                <w:rFonts w:ascii="等线" w:hAnsi="等线" w:eastAsia="等线" w:cs="等线"/>
                <w:color w:val="auto"/>
                <w:kern w:val="0"/>
                <w:sz w:val="16"/>
                <w:szCs w:val="16"/>
                <w:highlight w:val="none"/>
                <w:lang w:bidi="ar"/>
              </w:rPr>
              <w:t>597.2</w:t>
            </w:r>
          </w:p>
        </w:tc>
        <w:tc>
          <w:tcPr>
            <w:tcW w:w="10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等线" w:hAnsi="等线" w:eastAsia="等线" w:cs="等线"/>
                <w:color w:val="auto"/>
                <w:sz w:val="16"/>
                <w:szCs w:val="16"/>
                <w:highlight w:val="none"/>
              </w:rPr>
            </w:pPr>
            <w:r>
              <w:rPr>
                <w:rFonts w:ascii="等线" w:hAnsi="等线" w:eastAsia="等线" w:cs="等线"/>
                <w:color w:val="auto"/>
                <w:kern w:val="0"/>
                <w:sz w:val="16"/>
                <w:szCs w:val="16"/>
                <w:highlight w:val="none"/>
                <w:lang w:bidi="ar"/>
              </w:rPr>
              <w:t xml:space="preserve">9.20 </w:t>
            </w:r>
          </w:p>
        </w:tc>
      </w:tr>
      <w:tr>
        <w:tblPrEx>
          <w:tblCellMar>
            <w:top w:w="0" w:type="dxa"/>
            <w:left w:w="108" w:type="dxa"/>
            <w:bottom w:w="0" w:type="dxa"/>
            <w:right w:w="108" w:type="dxa"/>
          </w:tblCellMar>
        </w:tblPrEx>
        <w:trPr>
          <w:trHeight w:val="285" w:hRule="atLeast"/>
          <w:jc w:val="center"/>
        </w:trPr>
        <w:tc>
          <w:tcPr>
            <w:tcW w:w="73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auto"/>
                <w:sz w:val="16"/>
                <w:szCs w:val="16"/>
                <w:highlight w:val="none"/>
              </w:rPr>
            </w:pPr>
            <w:r>
              <w:rPr>
                <w:rFonts w:hint="eastAsia" w:ascii="宋体" w:hAnsi="宋体" w:eastAsia="宋体" w:cs="宋体"/>
                <w:color w:val="auto"/>
                <w:kern w:val="0"/>
                <w:sz w:val="16"/>
                <w:szCs w:val="16"/>
                <w:highlight w:val="none"/>
                <w:lang w:bidi="ar"/>
              </w:rPr>
              <w:t>9</w:t>
            </w:r>
          </w:p>
        </w:tc>
        <w:tc>
          <w:tcPr>
            <w:tcW w:w="107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等线" w:hAnsi="等线" w:eastAsia="等线" w:cs="等线"/>
                <w:color w:val="auto"/>
                <w:sz w:val="16"/>
                <w:szCs w:val="16"/>
                <w:highlight w:val="none"/>
              </w:rPr>
            </w:pPr>
            <w:r>
              <w:rPr>
                <w:rFonts w:ascii="等线" w:hAnsi="等线" w:eastAsia="等线" w:cs="等线"/>
                <w:color w:val="auto"/>
                <w:kern w:val="0"/>
                <w:sz w:val="16"/>
                <w:szCs w:val="16"/>
                <w:highlight w:val="none"/>
                <w:lang w:bidi="ar"/>
              </w:rPr>
              <w:t>867.1</w:t>
            </w:r>
          </w:p>
        </w:tc>
        <w:tc>
          <w:tcPr>
            <w:tcW w:w="109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等线" w:hAnsi="等线" w:eastAsia="等线" w:cs="等线"/>
                <w:color w:val="auto"/>
                <w:sz w:val="16"/>
                <w:szCs w:val="16"/>
                <w:highlight w:val="none"/>
              </w:rPr>
            </w:pPr>
            <w:r>
              <w:rPr>
                <w:rFonts w:ascii="等线" w:hAnsi="等线" w:eastAsia="等线" w:cs="等线"/>
                <w:color w:val="auto"/>
                <w:kern w:val="0"/>
                <w:sz w:val="16"/>
                <w:szCs w:val="16"/>
                <w:highlight w:val="none"/>
                <w:lang w:bidi="ar"/>
              </w:rPr>
              <w:t>421.9</w:t>
            </w:r>
          </w:p>
        </w:tc>
        <w:tc>
          <w:tcPr>
            <w:tcW w:w="10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等线" w:hAnsi="等线" w:eastAsia="等线" w:cs="等线"/>
                <w:color w:val="auto"/>
                <w:sz w:val="16"/>
                <w:szCs w:val="16"/>
                <w:highlight w:val="none"/>
              </w:rPr>
            </w:pPr>
            <w:r>
              <w:rPr>
                <w:rFonts w:ascii="等线" w:hAnsi="等线" w:eastAsia="等线" w:cs="等线"/>
                <w:color w:val="auto"/>
                <w:kern w:val="0"/>
                <w:sz w:val="16"/>
                <w:szCs w:val="16"/>
                <w:highlight w:val="none"/>
                <w:lang w:bidi="ar"/>
              </w:rPr>
              <w:t xml:space="preserve">8.80 </w:t>
            </w:r>
          </w:p>
        </w:tc>
      </w:tr>
      <w:tr>
        <w:tblPrEx>
          <w:tblCellMar>
            <w:top w:w="0" w:type="dxa"/>
            <w:left w:w="108" w:type="dxa"/>
            <w:bottom w:w="0" w:type="dxa"/>
            <w:right w:w="108" w:type="dxa"/>
          </w:tblCellMar>
        </w:tblPrEx>
        <w:trPr>
          <w:trHeight w:val="285" w:hRule="atLeast"/>
          <w:jc w:val="center"/>
        </w:trPr>
        <w:tc>
          <w:tcPr>
            <w:tcW w:w="73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auto"/>
                <w:kern w:val="0"/>
                <w:sz w:val="16"/>
                <w:szCs w:val="16"/>
                <w:highlight w:val="none"/>
                <w:lang w:bidi="ar"/>
              </w:rPr>
            </w:pPr>
            <w:r>
              <w:rPr>
                <w:rFonts w:hint="eastAsia" w:ascii="宋体" w:hAnsi="宋体" w:eastAsia="宋体" w:cs="宋体"/>
                <w:color w:val="auto"/>
                <w:kern w:val="0"/>
                <w:sz w:val="16"/>
                <w:szCs w:val="16"/>
                <w:highlight w:val="none"/>
                <w:lang w:bidi="ar"/>
              </w:rPr>
              <w:t>平均值</w:t>
            </w:r>
          </w:p>
        </w:tc>
        <w:tc>
          <w:tcPr>
            <w:tcW w:w="107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等线" w:hAnsi="等线" w:eastAsia="等线" w:cs="等线"/>
                <w:color w:val="auto"/>
                <w:kern w:val="0"/>
                <w:sz w:val="16"/>
                <w:szCs w:val="16"/>
                <w:highlight w:val="none"/>
                <w:lang w:bidi="ar"/>
              </w:rPr>
            </w:pPr>
            <w:r>
              <w:rPr>
                <w:rFonts w:hint="eastAsia" w:ascii="等线" w:hAnsi="等线" w:eastAsia="等线" w:cs="等线"/>
                <w:color w:val="auto"/>
                <w:kern w:val="0"/>
                <w:sz w:val="16"/>
                <w:szCs w:val="16"/>
                <w:highlight w:val="none"/>
                <w:lang w:bidi="ar"/>
              </w:rPr>
              <w:t>832</w:t>
            </w:r>
          </w:p>
        </w:tc>
        <w:tc>
          <w:tcPr>
            <w:tcW w:w="109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等线" w:hAnsi="等线" w:eastAsia="等线" w:cs="等线"/>
                <w:color w:val="auto"/>
                <w:kern w:val="0"/>
                <w:sz w:val="16"/>
                <w:szCs w:val="16"/>
                <w:highlight w:val="none"/>
                <w:lang w:bidi="ar"/>
              </w:rPr>
            </w:pPr>
            <w:r>
              <w:rPr>
                <w:rFonts w:hint="eastAsia" w:ascii="等线" w:hAnsi="等线" w:eastAsia="等线" w:cs="等线"/>
                <w:color w:val="auto"/>
                <w:kern w:val="0"/>
                <w:sz w:val="16"/>
                <w:szCs w:val="16"/>
                <w:highlight w:val="none"/>
                <w:lang w:bidi="ar"/>
              </w:rPr>
              <w:t>562</w:t>
            </w:r>
          </w:p>
        </w:tc>
        <w:tc>
          <w:tcPr>
            <w:tcW w:w="10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等线" w:hAnsi="等线" w:eastAsia="等线" w:cs="等线"/>
                <w:color w:val="auto"/>
                <w:kern w:val="0"/>
                <w:sz w:val="16"/>
                <w:szCs w:val="16"/>
                <w:highlight w:val="none"/>
                <w:lang w:bidi="ar"/>
              </w:rPr>
            </w:pPr>
            <w:r>
              <w:rPr>
                <w:rFonts w:hint="eastAsia" w:ascii="等线" w:hAnsi="等线" w:eastAsia="等线" w:cs="等线"/>
                <w:color w:val="auto"/>
                <w:kern w:val="0"/>
                <w:sz w:val="16"/>
                <w:szCs w:val="16"/>
                <w:highlight w:val="none"/>
                <w:lang w:bidi="ar"/>
              </w:rPr>
              <w:t>8.9</w:t>
            </w:r>
          </w:p>
        </w:tc>
      </w:tr>
    </w:tbl>
    <w:p>
      <w:pPr>
        <w:pStyle w:val="5"/>
        <w:spacing w:before="0" w:beforeAutospacing="0" w:after="0" w:afterAutospacing="0" w:line="340" w:lineRule="exact"/>
        <w:rPr>
          <w:color w:val="auto"/>
          <w:highlight w:val="none"/>
        </w:rPr>
      </w:pPr>
    </w:p>
    <w:p>
      <w:pPr>
        <w:spacing w:before="156" w:beforeLines="50" w:after="156" w:afterLines="50" w:line="440" w:lineRule="exact"/>
        <w:ind w:firstLine="480" w:firstLineChars="200"/>
        <w:outlineLvl w:val="0"/>
        <w:rPr>
          <w:rFonts w:hAnsi="宋体" w:eastAsia="宋体"/>
          <w:color w:val="auto"/>
          <w:sz w:val="24"/>
          <w:highlight w:val="none"/>
        </w:rPr>
      </w:pPr>
      <w:r>
        <w:rPr>
          <w:rFonts w:hint="eastAsia" w:hAnsi="宋体" w:eastAsia="宋体"/>
          <w:color w:val="auto"/>
          <w:sz w:val="24"/>
          <w:highlight w:val="none"/>
        </w:rPr>
        <w:t>（2）QT700-10牌号</w:t>
      </w:r>
    </w:p>
    <w:p>
      <w:pPr>
        <w:spacing w:before="156" w:beforeLines="50" w:after="156" w:afterLines="50" w:line="440" w:lineRule="exact"/>
        <w:ind w:firstLine="480" w:firstLineChars="200"/>
        <w:outlineLvl w:val="0"/>
        <w:rPr>
          <w:rFonts w:hAnsi="宋体" w:eastAsia="宋体"/>
          <w:color w:val="auto"/>
          <w:sz w:val="24"/>
          <w:highlight w:val="none"/>
        </w:rPr>
      </w:pPr>
      <w:r>
        <w:rPr>
          <w:rFonts w:hint="eastAsia" w:hAnsi="宋体" w:eastAsia="宋体"/>
          <w:color w:val="auto"/>
          <w:sz w:val="24"/>
          <w:highlight w:val="none"/>
        </w:rPr>
        <w:t>QT700-10企业一实验数据，粘土砂流水线，铸件主要壁厚10-20mm，铸态并排试块试样，试验有效数据20组，平均抗拉强度Rm778MPa、屈服强度447MPa、伸长率A 10.4%,平均值达到牌号要求，不合格数据10组，数据达标率为50%。硬度范围HB223-268。下图为试验数据的拉伸性能直观分布图。</w:t>
      </w:r>
    </w:p>
    <w:p>
      <w:pPr>
        <w:pStyle w:val="5"/>
        <w:spacing w:before="0" w:beforeAutospacing="0" w:after="0" w:afterAutospacing="0"/>
        <w:ind w:firstLine="480" w:firstLineChars="200"/>
        <w:jc w:val="center"/>
        <w:rPr>
          <w:rFonts w:eastAsia="仿宋_GB2312" w:cs="Arial"/>
          <w:color w:val="auto"/>
          <w:kern w:val="2"/>
          <w:highlight w:val="none"/>
        </w:rPr>
      </w:pPr>
      <w:r>
        <w:rPr>
          <w:rFonts w:hint="eastAsia" w:eastAsia="仿宋_GB2312" w:cs="Arial"/>
          <w:color w:val="auto"/>
          <w:kern w:val="2"/>
          <w:highlight w:val="none"/>
        </w:rPr>
        <w:drawing>
          <wp:inline distT="0" distB="0" distL="114300" distR="114300">
            <wp:extent cx="2527935" cy="2698750"/>
            <wp:effectExtent l="0" t="0" r="1905" b="13970"/>
            <wp:docPr id="19" name="图片 19" descr="16499015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1649901599"/>
                    <pic:cNvPicPr>
                      <a:picLocks noChangeAspect="1"/>
                    </pic:cNvPicPr>
                  </pic:nvPicPr>
                  <pic:blipFill>
                    <a:blip r:embed="rId5"/>
                    <a:stretch>
                      <a:fillRect/>
                    </a:stretch>
                  </pic:blipFill>
                  <pic:spPr>
                    <a:xfrm>
                      <a:off x="0" y="0"/>
                      <a:ext cx="2527935" cy="2698750"/>
                    </a:xfrm>
                    <a:prstGeom prst="rect">
                      <a:avLst/>
                    </a:prstGeom>
                  </pic:spPr>
                </pic:pic>
              </a:graphicData>
            </a:graphic>
          </wp:inline>
        </w:drawing>
      </w:r>
    </w:p>
    <w:p>
      <w:pPr>
        <w:pStyle w:val="5"/>
        <w:spacing w:before="0" w:beforeAutospacing="0" w:after="0" w:afterAutospacing="0"/>
        <w:jc w:val="both"/>
        <w:rPr>
          <w:color w:val="auto"/>
          <w:highlight w:val="none"/>
        </w:rPr>
      </w:pPr>
    </w:p>
    <w:p>
      <w:pPr>
        <w:spacing w:before="156" w:beforeLines="50" w:after="156" w:afterLines="50" w:line="440" w:lineRule="exact"/>
        <w:ind w:firstLine="480" w:firstLineChars="200"/>
        <w:outlineLvl w:val="0"/>
        <w:rPr>
          <w:rFonts w:hAnsi="宋体" w:eastAsia="宋体"/>
          <w:color w:val="auto"/>
          <w:sz w:val="24"/>
          <w:highlight w:val="none"/>
        </w:rPr>
      </w:pPr>
      <w:r>
        <w:rPr>
          <w:rFonts w:hint="eastAsia" w:hAnsi="宋体" w:eastAsia="宋体"/>
          <w:color w:val="auto"/>
          <w:sz w:val="24"/>
          <w:highlight w:val="none"/>
        </w:rPr>
        <w:t>QT700-10企业三，铁型覆砂工艺，主要壁厚10-30mm，铸态本体试样，有效试验数据206组，平均抗拉强度Rm720MPa、屈服强度421MPa、伸长率A 10%，平均值达到牌号要求，不合格数据150组，数据达标率为27.18%。下图为企业三试验数据的拉伸性能直观分布图。</w:t>
      </w:r>
    </w:p>
    <w:p>
      <w:pPr>
        <w:pStyle w:val="5"/>
        <w:spacing w:before="0" w:beforeAutospacing="0" w:after="0" w:afterAutospacing="0"/>
        <w:ind w:firstLine="480" w:firstLineChars="200"/>
        <w:jc w:val="center"/>
        <w:rPr>
          <w:color w:val="auto"/>
          <w:highlight w:val="none"/>
        </w:rPr>
      </w:pPr>
      <w:r>
        <w:rPr>
          <w:rFonts w:hint="eastAsia"/>
          <w:color w:val="auto"/>
          <w:highlight w:val="none"/>
        </w:rPr>
        <w:drawing>
          <wp:inline distT="0" distB="0" distL="114300" distR="114300">
            <wp:extent cx="3063875" cy="3884295"/>
            <wp:effectExtent l="0" t="0" r="14605" b="1905"/>
            <wp:docPr id="5" name="图片 5" descr="16515486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1651548644(1)"/>
                    <pic:cNvPicPr>
                      <a:picLocks noChangeAspect="1"/>
                    </pic:cNvPicPr>
                  </pic:nvPicPr>
                  <pic:blipFill>
                    <a:blip r:embed="rId6"/>
                    <a:stretch>
                      <a:fillRect/>
                    </a:stretch>
                  </pic:blipFill>
                  <pic:spPr>
                    <a:xfrm>
                      <a:off x="0" y="0"/>
                      <a:ext cx="3063875" cy="3884295"/>
                    </a:xfrm>
                    <a:prstGeom prst="rect">
                      <a:avLst/>
                    </a:prstGeom>
                  </pic:spPr>
                </pic:pic>
              </a:graphicData>
            </a:graphic>
          </wp:inline>
        </w:drawing>
      </w:r>
    </w:p>
    <w:p>
      <w:pPr>
        <w:pStyle w:val="5"/>
        <w:spacing w:before="0" w:beforeAutospacing="0" w:after="0" w:afterAutospacing="0" w:line="340" w:lineRule="exact"/>
        <w:ind w:firstLine="480" w:firstLineChars="200"/>
        <w:rPr>
          <w:color w:val="auto"/>
          <w:highlight w:val="none"/>
        </w:rPr>
      </w:pPr>
    </w:p>
    <w:p>
      <w:pPr>
        <w:spacing w:before="156" w:beforeLines="50" w:after="156" w:afterLines="50" w:line="440" w:lineRule="exact"/>
        <w:ind w:firstLine="480" w:firstLineChars="200"/>
        <w:outlineLvl w:val="0"/>
        <w:rPr>
          <w:rFonts w:hAnsi="宋体" w:eastAsia="宋体"/>
          <w:color w:val="auto"/>
          <w:sz w:val="24"/>
          <w:highlight w:val="none"/>
        </w:rPr>
      </w:pPr>
      <w:r>
        <w:rPr>
          <w:rFonts w:hint="eastAsia" w:hAnsi="宋体" w:eastAsia="宋体"/>
          <w:color w:val="auto"/>
          <w:sz w:val="24"/>
          <w:highlight w:val="none"/>
        </w:rPr>
        <w:t>QT700-10企业三，铁型覆砂工艺，主要壁厚90-120mm，铸态本体试样，有效试验数据56组，平均抗拉强度Rm793.5MPa、屈服强度476MPa、伸长率A 8.2%，平均值达到牌号要求，数据达标率为100%。下图为企业三试验数据的拉伸性能直观分布图。</w:t>
      </w:r>
    </w:p>
    <w:p>
      <w:pPr>
        <w:pStyle w:val="5"/>
        <w:spacing w:before="0" w:beforeAutospacing="0" w:after="0" w:afterAutospacing="0"/>
        <w:ind w:firstLine="480" w:firstLineChars="200"/>
        <w:jc w:val="center"/>
        <w:rPr>
          <w:color w:val="auto"/>
          <w:highlight w:val="none"/>
        </w:rPr>
      </w:pPr>
      <w:r>
        <w:rPr>
          <w:rFonts w:hint="eastAsia"/>
          <w:color w:val="auto"/>
          <w:highlight w:val="none"/>
        </w:rPr>
        <w:drawing>
          <wp:inline distT="0" distB="0" distL="114300" distR="114300">
            <wp:extent cx="3363595" cy="3385820"/>
            <wp:effectExtent l="0" t="0" r="8255" b="5080"/>
            <wp:docPr id="4" name="图片 4" descr="16515474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1651547461(1)"/>
                    <pic:cNvPicPr>
                      <a:picLocks noChangeAspect="1"/>
                    </pic:cNvPicPr>
                  </pic:nvPicPr>
                  <pic:blipFill>
                    <a:blip r:embed="rId7"/>
                    <a:stretch>
                      <a:fillRect/>
                    </a:stretch>
                  </pic:blipFill>
                  <pic:spPr>
                    <a:xfrm>
                      <a:off x="0" y="0"/>
                      <a:ext cx="3363595" cy="3385820"/>
                    </a:xfrm>
                    <a:prstGeom prst="rect">
                      <a:avLst/>
                    </a:prstGeom>
                  </pic:spPr>
                </pic:pic>
              </a:graphicData>
            </a:graphic>
          </wp:inline>
        </w:drawing>
      </w:r>
    </w:p>
    <w:p>
      <w:pPr>
        <w:pStyle w:val="5"/>
        <w:spacing w:before="0" w:beforeAutospacing="0" w:after="0" w:afterAutospacing="0"/>
        <w:ind w:firstLine="480" w:firstLineChars="200"/>
        <w:jc w:val="center"/>
        <w:rPr>
          <w:color w:val="auto"/>
          <w:highlight w:val="none"/>
        </w:rPr>
      </w:pPr>
    </w:p>
    <w:p>
      <w:pPr>
        <w:pStyle w:val="5"/>
        <w:spacing w:before="0" w:beforeAutospacing="0" w:after="0" w:afterAutospacing="0" w:line="340" w:lineRule="exact"/>
        <w:rPr>
          <w:color w:val="auto"/>
          <w:highlight w:val="none"/>
        </w:rPr>
      </w:pPr>
    </w:p>
    <w:p>
      <w:pPr>
        <w:spacing w:before="156" w:beforeLines="50" w:after="156" w:afterLines="50" w:line="440" w:lineRule="exact"/>
        <w:ind w:firstLine="480" w:firstLineChars="200"/>
        <w:outlineLvl w:val="0"/>
        <w:rPr>
          <w:rFonts w:hAnsi="宋体" w:eastAsia="宋体"/>
          <w:color w:val="auto"/>
          <w:sz w:val="24"/>
          <w:highlight w:val="none"/>
        </w:rPr>
      </w:pPr>
      <w:r>
        <w:rPr>
          <w:rFonts w:hint="eastAsia" w:hAnsi="宋体" w:eastAsia="宋体"/>
          <w:color w:val="auto"/>
          <w:sz w:val="24"/>
          <w:highlight w:val="none"/>
        </w:rPr>
        <w:t>（3）QT800-5牌号</w:t>
      </w:r>
    </w:p>
    <w:p>
      <w:pPr>
        <w:spacing w:before="156" w:beforeLines="50" w:after="156" w:afterLines="50" w:line="440" w:lineRule="exact"/>
        <w:ind w:firstLine="480" w:firstLineChars="200"/>
        <w:outlineLvl w:val="0"/>
        <w:rPr>
          <w:rFonts w:hAnsi="宋体" w:eastAsia="宋体"/>
          <w:color w:val="auto"/>
          <w:sz w:val="24"/>
          <w:highlight w:val="none"/>
        </w:rPr>
      </w:pPr>
      <w:r>
        <w:rPr>
          <w:rFonts w:hint="eastAsia" w:hAnsi="宋体" w:eastAsia="宋体"/>
          <w:color w:val="auto"/>
          <w:sz w:val="24"/>
          <w:highlight w:val="none"/>
        </w:rPr>
        <w:t>QT800-5企业二，铁模覆砂，铸件主要壁厚12-30mm，铸态本体试样，有效试验数据122组，平均抗拉强度Rm885.58MPa、屈服强度556.99MPa、伸长率A 6.58%,平均值达到牌号要求，数据达标率为100%。下图为企业二QT800-5试验数据的拉伸性能直观分布图。</w:t>
      </w:r>
    </w:p>
    <w:p>
      <w:pPr>
        <w:pStyle w:val="5"/>
        <w:spacing w:before="0" w:beforeAutospacing="0" w:after="0" w:afterAutospacing="0"/>
        <w:jc w:val="center"/>
        <w:rPr>
          <w:color w:val="auto"/>
          <w:highlight w:val="none"/>
        </w:rPr>
      </w:pPr>
      <w:r>
        <w:rPr>
          <w:rFonts w:hint="eastAsia"/>
          <w:color w:val="auto"/>
          <w:highlight w:val="none"/>
        </w:rPr>
        <w:drawing>
          <wp:inline distT="0" distB="0" distL="114300" distR="114300">
            <wp:extent cx="4058920" cy="3310890"/>
            <wp:effectExtent l="0" t="0" r="17780" b="3810"/>
            <wp:docPr id="9" name="图片 9" descr="1642247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1642247000(1)"/>
                    <pic:cNvPicPr>
                      <a:picLocks noChangeAspect="1"/>
                    </pic:cNvPicPr>
                  </pic:nvPicPr>
                  <pic:blipFill>
                    <a:blip r:embed="rId8"/>
                    <a:stretch>
                      <a:fillRect/>
                    </a:stretch>
                  </pic:blipFill>
                  <pic:spPr>
                    <a:xfrm>
                      <a:off x="0" y="0"/>
                      <a:ext cx="4058920" cy="3310890"/>
                    </a:xfrm>
                    <a:prstGeom prst="rect">
                      <a:avLst/>
                    </a:prstGeom>
                  </pic:spPr>
                </pic:pic>
              </a:graphicData>
            </a:graphic>
          </wp:inline>
        </w:drawing>
      </w:r>
    </w:p>
    <w:p>
      <w:pPr>
        <w:spacing w:before="156" w:beforeLines="50" w:after="156" w:afterLines="50" w:line="440" w:lineRule="exact"/>
        <w:ind w:firstLine="480" w:firstLineChars="200"/>
        <w:outlineLvl w:val="0"/>
        <w:rPr>
          <w:color w:val="auto"/>
          <w:highlight w:val="none"/>
        </w:rPr>
      </w:pPr>
      <w:r>
        <w:rPr>
          <w:rFonts w:hint="eastAsia" w:hAnsi="宋体" w:eastAsia="宋体"/>
          <w:color w:val="auto"/>
          <w:sz w:val="24"/>
          <w:highlight w:val="none"/>
        </w:rPr>
        <w:t>QT800-5企业四，铁模覆砂，铸件主要壁厚10-30mm，铸态20mm铸造试棒，有效试验数据117组，平均抗拉强度Rm885.9MPa、屈服强度565.3MPa、伸长率A 6.0%,平均值达到牌号要求，数据达标率为100%。硬度范围HB241-301。下图为企业四QT800-5试验数据的拉伸性能直观分布图。</w:t>
      </w:r>
    </w:p>
    <w:p>
      <w:pPr>
        <w:pStyle w:val="5"/>
        <w:spacing w:before="0" w:beforeAutospacing="0" w:after="0" w:afterAutospacing="0"/>
        <w:ind w:firstLine="480" w:firstLineChars="200"/>
        <w:jc w:val="center"/>
        <w:rPr>
          <w:rFonts w:eastAsia="仿宋_GB2312" w:cs="Arial"/>
          <w:color w:val="auto"/>
          <w:kern w:val="2"/>
          <w:highlight w:val="none"/>
        </w:rPr>
      </w:pPr>
      <w:r>
        <w:rPr>
          <w:rFonts w:hint="eastAsia" w:eastAsia="仿宋_GB2312" w:cs="Arial"/>
          <w:color w:val="auto"/>
          <w:kern w:val="2"/>
          <w:highlight w:val="none"/>
        </w:rPr>
        <w:drawing>
          <wp:inline distT="0" distB="0" distL="114300" distR="114300">
            <wp:extent cx="3826510" cy="1418590"/>
            <wp:effectExtent l="0" t="0" r="2540" b="10160"/>
            <wp:docPr id="10" name="图片 10" descr="16422505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1642250554(1)"/>
                    <pic:cNvPicPr>
                      <a:picLocks noChangeAspect="1"/>
                    </pic:cNvPicPr>
                  </pic:nvPicPr>
                  <pic:blipFill>
                    <a:blip r:embed="rId9"/>
                    <a:stretch>
                      <a:fillRect/>
                    </a:stretch>
                  </pic:blipFill>
                  <pic:spPr>
                    <a:xfrm>
                      <a:off x="0" y="0"/>
                      <a:ext cx="3826510" cy="1418590"/>
                    </a:xfrm>
                    <a:prstGeom prst="rect">
                      <a:avLst/>
                    </a:prstGeom>
                  </pic:spPr>
                </pic:pic>
              </a:graphicData>
            </a:graphic>
          </wp:inline>
        </w:drawing>
      </w:r>
    </w:p>
    <w:p>
      <w:pPr>
        <w:pStyle w:val="5"/>
        <w:spacing w:before="0" w:beforeAutospacing="0" w:after="0" w:afterAutospacing="0"/>
        <w:ind w:firstLine="480" w:firstLineChars="200"/>
        <w:jc w:val="center"/>
        <w:rPr>
          <w:rFonts w:eastAsia="仿宋_GB2312" w:cs="Arial"/>
          <w:color w:val="auto"/>
          <w:kern w:val="2"/>
          <w:highlight w:val="none"/>
        </w:rPr>
      </w:pPr>
      <w:r>
        <w:rPr>
          <w:rFonts w:hint="eastAsia" w:eastAsia="仿宋_GB2312" w:cs="Arial"/>
          <w:color w:val="auto"/>
          <w:kern w:val="2"/>
          <w:highlight w:val="none"/>
        </w:rPr>
        <w:drawing>
          <wp:inline distT="0" distB="0" distL="114300" distR="114300">
            <wp:extent cx="3770630" cy="1356360"/>
            <wp:effectExtent l="0" t="0" r="1270" b="15240"/>
            <wp:docPr id="11" name="图片 11" descr="16422506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1642250664(1)"/>
                    <pic:cNvPicPr>
                      <a:picLocks noChangeAspect="1"/>
                    </pic:cNvPicPr>
                  </pic:nvPicPr>
                  <pic:blipFill>
                    <a:blip r:embed="rId10"/>
                    <a:stretch>
                      <a:fillRect/>
                    </a:stretch>
                  </pic:blipFill>
                  <pic:spPr>
                    <a:xfrm>
                      <a:off x="0" y="0"/>
                      <a:ext cx="3770630" cy="1356360"/>
                    </a:xfrm>
                    <a:prstGeom prst="rect">
                      <a:avLst/>
                    </a:prstGeom>
                  </pic:spPr>
                </pic:pic>
              </a:graphicData>
            </a:graphic>
          </wp:inline>
        </w:drawing>
      </w:r>
    </w:p>
    <w:p>
      <w:pPr>
        <w:pStyle w:val="5"/>
        <w:spacing w:before="0" w:beforeAutospacing="0" w:after="0" w:afterAutospacing="0"/>
        <w:ind w:firstLine="480" w:firstLineChars="200"/>
        <w:jc w:val="center"/>
        <w:rPr>
          <w:rFonts w:eastAsia="仿宋_GB2312" w:cs="Arial"/>
          <w:color w:val="auto"/>
          <w:kern w:val="2"/>
          <w:highlight w:val="none"/>
        </w:rPr>
      </w:pPr>
      <w:r>
        <w:rPr>
          <w:rFonts w:hint="eastAsia" w:eastAsia="仿宋_GB2312" w:cs="Arial"/>
          <w:color w:val="auto"/>
          <w:kern w:val="2"/>
          <w:highlight w:val="none"/>
        </w:rPr>
        <w:drawing>
          <wp:inline distT="0" distB="0" distL="114300" distR="114300">
            <wp:extent cx="3788410" cy="1038225"/>
            <wp:effectExtent l="0" t="0" r="2540" b="9525"/>
            <wp:docPr id="12" name="图片 12" descr="16422507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1642250768(1)"/>
                    <pic:cNvPicPr>
                      <a:picLocks noChangeAspect="1"/>
                    </pic:cNvPicPr>
                  </pic:nvPicPr>
                  <pic:blipFill>
                    <a:blip r:embed="rId11"/>
                    <a:stretch>
                      <a:fillRect/>
                    </a:stretch>
                  </pic:blipFill>
                  <pic:spPr>
                    <a:xfrm>
                      <a:off x="0" y="0"/>
                      <a:ext cx="3788410" cy="1038225"/>
                    </a:xfrm>
                    <a:prstGeom prst="rect">
                      <a:avLst/>
                    </a:prstGeom>
                  </pic:spPr>
                </pic:pic>
              </a:graphicData>
            </a:graphic>
          </wp:inline>
        </w:drawing>
      </w:r>
    </w:p>
    <w:p>
      <w:pPr>
        <w:pStyle w:val="5"/>
        <w:spacing w:before="0" w:beforeAutospacing="0" w:after="0" w:afterAutospacing="0" w:line="340" w:lineRule="exact"/>
        <w:rPr>
          <w:color w:val="auto"/>
          <w:highlight w:val="none"/>
        </w:rPr>
      </w:pPr>
    </w:p>
    <w:p>
      <w:pPr>
        <w:spacing w:before="156" w:beforeLines="50" w:after="156" w:afterLines="50" w:line="440" w:lineRule="exact"/>
        <w:ind w:firstLine="480" w:firstLineChars="200"/>
        <w:outlineLvl w:val="0"/>
        <w:rPr>
          <w:rFonts w:hAnsi="宋体" w:eastAsia="宋体"/>
          <w:color w:val="auto"/>
          <w:sz w:val="24"/>
          <w:highlight w:val="none"/>
        </w:rPr>
      </w:pPr>
      <w:r>
        <w:rPr>
          <w:rFonts w:hint="eastAsia" w:hAnsi="宋体" w:eastAsia="宋体"/>
          <w:color w:val="auto"/>
          <w:sz w:val="24"/>
          <w:highlight w:val="none"/>
        </w:rPr>
        <w:t>（4）QT900-5牌号</w:t>
      </w:r>
    </w:p>
    <w:p>
      <w:pPr>
        <w:spacing w:before="156" w:beforeLines="50" w:after="156" w:afterLines="50" w:line="440" w:lineRule="exact"/>
        <w:ind w:firstLine="480" w:firstLineChars="200"/>
        <w:outlineLvl w:val="0"/>
        <w:rPr>
          <w:rFonts w:hAnsi="宋体" w:eastAsia="宋体"/>
          <w:color w:val="auto"/>
          <w:sz w:val="24"/>
          <w:highlight w:val="none"/>
        </w:rPr>
      </w:pPr>
      <w:r>
        <w:rPr>
          <w:rFonts w:hint="eastAsia" w:hAnsi="宋体" w:eastAsia="宋体"/>
          <w:color w:val="auto"/>
          <w:sz w:val="24"/>
          <w:highlight w:val="none"/>
        </w:rPr>
        <w:t>QT900-5企业三，铁模覆砂，铸件主要壁厚20-30mm，本体取样，正火态，有效试验数据97组，平均抗拉强度Rm949MPa、屈服强度562MPa、伸长率A 5.9%,平均值达到牌号要求，数据达标率为94.85%。硬度范围HB275-319。下图为企业四QT900-5试验数据的拉伸性能直观分布图。</w:t>
      </w:r>
    </w:p>
    <w:p>
      <w:pPr>
        <w:pStyle w:val="5"/>
        <w:spacing w:before="0" w:beforeAutospacing="0" w:after="0" w:afterAutospacing="0"/>
        <w:jc w:val="center"/>
        <w:rPr>
          <w:color w:val="auto"/>
          <w:highlight w:val="none"/>
        </w:rPr>
      </w:pPr>
      <w:r>
        <w:rPr>
          <w:rFonts w:hint="eastAsia"/>
          <w:color w:val="auto"/>
          <w:highlight w:val="none"/>
        </w:rPr>
        <w:drawing>
          <wp:inline distT="0" distB="0" distL="114300" distR="114300">
            <wp:extent cx="4251960" cy="1259205"/>
            <wp:effectExtent l="0" t="0" r="15240" b="17145"/>
            <wp:docPr id="1" name="图片 1" descr="164229739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642297392(1)"/>
                    <pic:cNvPicPr>
                      <a:picLocks noChangeAspect="1"/>
                    </pic:cNvPicPr>
                  </pic:nvPicPr>
                  <pic:blipFill>
                    <a:blip r:embed="rId12"/>
                    <a:stretch>
                      <a:fillRect/>
                    </a:stretch>
                  </pic:blipFill>
                  <pic:spPr>
                    <a:xfrm>
                      <a:off x="0" y="0"/>
                      <a:ext cx="4251960" cy="1259205"/>
                    </a:xfrm>
                    <a:prstGeom prst="rect">
                      <a:avLst/>
                    </a:prstGeom>
                  </pic:spPr>
                </pic:pic>
              </a:graphicData>
            </a:graphic>
          </wp:inline>
        </w:drawing>
      </w:r>
    </w:p>
    <w:p>
      <w:pPr>
        <w:pStyle w:val="5"/>
        <w:spacing w:before="0" w:beforeAutospacing="0" w:after="0" w:afterAutospacing="0"/>
        <w:jc w:val="center"/>
        <w:rPr>
          <w:color w:val="auto"/>
          <w:highlight w:val="none"/>
        </w:rPr>
      </w:pPr>
      <w:r>
        <w:rPr>
          <w:rFonts w:hint="eastAsia"/>
          <w:color w:val="auto"/>
          <w:highlight w:val="none"/>
        </w:rPr>
        <w:drawing>
          <wp:inline distT="0" distB="0" distL="114300" distR="114300">
            <wp:extent cx="4024630" cy="1122045"/>
            <wp:effectExtent l="0" t="0" r="13970" b="1905"/>
            <wp:docPr id="2" name="图片 2" descr="16422975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642297528(1)"/>
                    <pic:cNvPicPr>
                      <a:picLocks noChangeAspect="1"/>
                    </pic:cNvPicPr>
                  </pic:nvPicPr>
                  <pic:blipFill>
                    <a:blip r:embed="rId13"/>
                    <a:stretch>
                      <a:fillRect/>
                    </a:stretch>
                  </pic:blipFill>
                  <pic:spPr>
                    <a:xfrm>
                      <a:off x="0" y="0"/>
                      <a:ext cx="4024630" cy="1122045"/>
                    </a:xfrm>
                    <a:prstGeom prst="rect">
                      <a:avLst/>
                    </a:prstGeom>
                  </pic:spPr>
                </pic:pic>
              </a:graphicData>
            </a:graphic>
          </wp:inline>
        </w:drawing>
      </w:r>
    </w:p>
    <w:p>
      <w:pPr>
        <w:pStyle w:val="5"/>
        <w:spacing w:before="0" w:beforeAutospacing="0" w:after="0" w:afterAutospacing="0"/>
        <w:jc w:val="center"/>
        <w:rPr>
          <w:color w:val="auto"/>
          <w:highlight w:val="none"/>
        </w:rPr>
      </w:pPr>
      <w:r>
        <w:rPr>
          <w:rFonts w:hint="eastAsia"/>
          <w:color w:val="auto"/>
          <w:highlight w:val="none"/>
        </w:rPr>
        <w:drawing>
          <wp:inline distT="0" distB="0" distL="114300" distR="114300">
            <wp:extent cx="3983990" cy="1550035"/>
            <wp:effectExtent l="0" t="0" r="16510" b="12065"/>
            <wp:docPr id="7" name="图片 7" descr="16422977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1642297779(1)"/>
                    <pic:cNvPicPr>
                      <a:picLocks noChangeAspect="1"/>
                    </pic:cNvPicPr>
                  </pic:nvPicPr>
                  <pic:blipFill>
                    <a:blip r:embed="rId14"/>
                    <a:stretch>
                      <a:fillRect/>
                    </a:stretch>
                  </pic:blipFill>
                  <pic:spPr>
                    <a:xfrm>
                      <a:off x="0" y="0"/>
                      <a:ext cx="3983990" cy="1550035"/>
                    </a:xfrm>
                    <a:prstGeom prst="rect">
                      <a:avLst/>
                    </a:prstGeom>
                  </pic:spPr>
                </pic:pic>
              </a:graphicData>
            </a:graphic>
          </wp:inline>
        </w:drawing>
      </w:r>
    </w:p>
    <w:p>
      <w:pPr>
        <w:pStyle w:val="5"/>
        <w:spacing w:before="0" w:beforeAutospacing="0" w:after="0" w:afterAutospacing="0"/>
        <w:jc w:val="center"/>
        <w:rPr>
          <w:color w:val="auto"/>
          <w:highlight w:val="none"/>
        </w:rPr>
      </w:pPr>
    </w:p>
    <w:p>
      <w:pPr>
        <w:spacing w:before="156" w:beforeLines="50" w:after="156" w:afterLines="50" w:line="440" w:lineRule="exact"/>
        <w:ind w:firstLine="480" w:firstLineChars="200"/>
        <w:outlineLvl w:val="0"/>
        <w:rPr>
          <w:rFonts w:hAnsi="宋体" w:eastAsia="宋体"/>
          <w:color w:val="auto"/>
          <w:sz w:val="24"/>
          <w:highlight w:val="none"/>
        </w:rPr>
      </w:pPr>
      <w:r>
        <w:rPr>
          <w:rFonts w:hint="eastAsia" w:hAnsi="宋体" w:eastAsia="宋体"/>
          <w:color w:val="auto"/>
          <w:sz w:val="24"/>
          <w:highlight w:val="none"/>
        </w:rPr>
        <w:t>（5）QT1000-5牌号</w:t>
      </w:r>
    </w:p>
    <w:p>
      <w:pPr>
        <w:spacing w:before="156" w:beforeLines="50" w:after="156" w:afterLines="50" w:line="440" w:lineRule="exact"/>
        <w:ind w:firstLine="480" w:firstLineChars="200"/>
        <w:outlineLvl w:val="0"/>
        <w:rPr>
          <w:rFonts w:hAnsi="宋体" w:eastAsia="宋体"/>
          <w:color w:val="auto"/>
          <w:sz w:val="24"/>
          <w:highlight w:val="none"/>
        </w:rPr>
      </w:pPr>
      <w:r>
        <w:rPr>
          <w:rFonts w:hint="eastAsia" w:hAnsi="宋体" w:eastAsia="宋体"/>
          <w:color w:val="auto"/>
          <w:sz w:val="24"/>
          <w:highlight w:val="none"/>
        </w:rPr>
        <w:t>QT1000-5企业三，铁模覆砂，铸件主要壁厚60&lt;t≤100mm，本体取样，正火态，有效试验数据154组，平均抗拉强度Rm1019.38MPa、屈服强度605.54MPa、伸长率A 5.5%,平均值达到牌号要求，8组数据不达标，数据达标率为94.8%。硬度范围HB292-329。下图为企业四QT1000-5试验数据的拉伸性能直观分布图。</w:t>
      </w:r>
    </w:p>
    <w:p>
      <w:pPr>
        <w:pStyle w:val="5"/>
        <w:spacing w:before="0" w:beforeAutospacing="0" w:after="0" w:afterAutospacing="0"/>
        <w:jc w:val="center"/>
        <w:rPr>
          <w:color w:val="auto"/>
          <w:highlight w:val="none"/>
        </w:rPr>
      </w:pPr>
      <w:r>
        <w:rPr>
          <w:rFonts w:hint="eastAsia"/>
          <w:color w:val="auto"/>
          <w:highlight w:val="none"/>
        </w:rPr>
        <w:drawing>
          <wp:inline distT="0" distB="0" distL="114300" distR="114300">
            <wp:extent cx="3535680" cy="1027430"/>
            <wp:effectExtent l="0" t="0" r="7620" b="1270"/>
            <wp:docPr id="17" name="图片 17" descr="16423028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1642302838(1)"/>
                    <pic:cNvPicPr>
                      <a:picLocks noChangeAspect="1"/>
                    </pic:cNvPicPr>
                  </pic:nvPicPr>
                  <pic:blipFill>
                    <a:blip r:embed="rId15"/>
                    <a:stretch>
                      <a:fillRect/>
                    </a:stretch>
                  </pic:blipFill>
                  <pic:spPr>
                    <a:xfrm>
                      <a:off x="0" y="0"/>
                      <a:ext cx="3535680" cy="1027430"/>
                    </a:xfrm>
                    <a:prstGeom prst="rect">
                      <a:avLst/>
                    </a:prstGeom>
                  </pic:spPr>
                </pic:pic>
              </a:graphicData>
            </a:graphic>
          </wp:inline>
        </w:drawing>
      </w:r>
    </w:p>
    <w:p>
      <w:pPr>
        <w:pStyle w:val="5"/>
        <w:spacing w:before="0" w:beforeAutospacing="0" w:after="0" w:afterAutospacing="0"/>
        <w:jc w:val="center"/>
        <w:rPr>
          <w:color w:val="auto"/>
          <w:highlight w:val="none"/>
        </w:rPr>
      </w:pPr>
      <w:r>
        <w:rPr>
          <w:rFonts w:hint="eastAsia"/>
          <w:color w:val="auto"/>
          <w:highlight w:val="none"/>
        </w:rPr>
        <w:drawing>
          <wp:inline distT="0" distB="0" distL="114300" distR="114300">
            <wp:extent cx="3564255" cy="2116455"/>
            <wp:effectExtent l="0" t="0" r="17145" b="17145"/>
            <wp:docPr id="15" name="图片 15" descr="16423012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1642301211(1)"/>
                    <pic:cNvPicPr>
                      <a:picLocks noChangeAspect="1"/>
                    </pic:cNvPicPr>
                  </pic:nvPicPr>
                  <pic:blipFill>
                    <a:blip r:embed="rId16"/>
                    <a:stretch>
                      <a:fillRect/>
                    </a:stretch>
                  </pic:blipFill>
                  <pic:spPr>
                    <a:xfrm>
                      <a:off x="0" y="0"/>
                      <a:ext cx="3564255" cy="2116455"/>
                    </a:xfrm>
                    <a:prstGeom prst="rect">
                      <a:avLst/>
                    </a:prstGeom>
                  </pic:spPr>
                </pic:pic>
              </a:graphicData>
            </a:graphic>
          </wp:inline>
        </w:drawing>
      </w:r>
      <w:r>
        <w:rPr>
          <w:rFonts w:hint="eastAsia"/>
          <w:color w:val="auto"/>
          <w:highlight w:val="none"/>
        </w:rPr>
        <w:drawing>
          <wp:inline distT="0" distB="0" distL="114300" distR="114300">
            <wp:extent cx="3701415" cy="2005330"/>
            <wp:effectExtent l="0" t="0" r="13335" b="13970"/>
            <wp:docPr id="16" name="图片 16" descr="16423017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1642301721(1)"/>
                    <pic:cNvPicPr>
                      <a:picLocks noChangeAspect="1"/>
                    </pic:cNvPicPr>
                  </pic:nvPicPr>
                  <pic:blipFill>
                    <a:blip r:embed="rId17"/>
                    <a:stretch>
                      <a:fillRect/>
                    </a:stretch>
                  </pic:blipFill>
                  <pic:spPr>
                    <a:xfrm>
                      <a:off x="0" y="0"/>
                      <a:ext cx="3701415" cy="2005330"/>
                    </a:xfrm>
                    <a:prstGeom prst="rect">
                      <a:avLst/>
                    </a:prstGeom>
                  </pic:spPr>
                </pic:pic>
              </a:graphicData>
            </a:graphic>
          </wp:inline>
        </w:drawing>
      </w:r>
    </w:p>
    <w:p>
      <w:pPr>
        <w:pStyle w:val="5"/>
        <w:spacing w:before="0" w:beforeAutospacing="0" w:after="0" w:afterAutospacing="0"/>
        <w:jc w:val="center"/>
        <w:rPr>
          <w:color w:val="auto"/>
          <w:highlight w:val="none"/>
        </w:rPr>
      </w:pPr>
    </w:p>
    <w:p>
      <w:pPr>
        <w:spacing w:before="156" w:beforeLines="50" w:after="156" w:afterLines="50" w:line="440" w:lineRule="exact"/>
        <w:ind w:firstLine="480" w:firstLineChars="200"/>
        <w:outlineLvl w:val="0"/>
        <w:rPr>
          <w:rFonts w:hAnsi="宋体" w:eastAsia="宋体"/>
          <w:color w:val="auto"/>
          <w:sz w:val="24"/>
          <w:highlight w:val="none"/>
        </w:rPr>
      </w:pPr>
      <w:r>
        <w:rPr>
          <w:rFonts w:hint="eastAsia" w:hAnsi="宋体" w:eastAsia="宋体"/>
          <w:color w:val="auto"/>
          <w:sz w:val="24"/>
          <w:highlight w:val="none"/>
        </w:rPr>
        <w:t>各牌号的拉伸性能数据分析汇总见下表。</w:t>
      </w:r>
    </w:p>
    <w:p>
      <w:pPr>
        <w:pStyle w:val="5"/>
        <w:spacing w:before="0" w:beforeAutospacing="0" w:after="0" w:afterAutospacing="0" w:line="340" w:lineRule="exact"/>
        <w:rPr>
          <w:rFonts w:cs="Arial"/>
          <w:color w:val="auto"/>
          <w:highlight w:val="none"/>
        </w:rPr>
      </w:pPr>
    </w:p>
    <w:tbl>
      <w:tblPr>
        <w:tblStyle w:val="7"/>
        <w:tblW w:w="93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4"/>
        <w:gridCol w:w="962"/>
        <w:gridCol w:w="1020"/>
        <w:gridCol w:w="1095"/>
        <w:gridCol w:w="1102"/>
        <w:gridCol w:w="909"/>
        <w:gridCol w:w="847"/>
        <w:gridCol w:w="1112"/>
        <w:gridCol w:w="13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4" w:type="dxa"/>
          </w:tcPr>
          <w:p>
            <w:pPr>
              <w:pStyle w:val="5"/>
              <w:spacing w:before="0" w:beforeAutospacing="0" w:after="0" w:afterAutospacing="0" w:line="340" w:lineRule="exact"/>
              <w:jc w:val="center"/>
              <w:rPr>
                <w:color w:val="auto"/>
                <w:sz w:val="18"/>
                <w:szCs w:val="18"/>
                <w:highlight w:val="none"/>
              </w:rPr>
            </w:pPr>
            <w:r>
              <w:rPr>
                <w:rFonts w:hint="eastAsia"/>
                <w:color w:val="auto"/>
                <w:sz w:val="18"/>
                <w:szCs w:val="18"/>
                <w:highlight w:val="none"/>
              </w:rPr>
              <w:t>牌号</w:t>
            </w:r>
          </w:p>
        </w:tc>
        <w:tc>
          <w:tcPr>
            <w:tcW w:w="962" w:type="dxa"/>
          </w:tcPr>
          <w:p>
            <w:pPr>
              <w:pStyle w:val="5"/>
              <w:spacing w:before="0" w:beforeAutospacing="0" w:after="0" w:afterAutospacing="0" w:line="340" w:lineRule="exact"/>
              <w:jc w:val="center"/>
              <w:rPr>
                <w:color w:val="auto"/>
                <w:sz w:val="18"/>
                <w:szCs w:val="18"/>
                <w:highlight w:val="none"/>
              </w:rPr>
            </w:pPr>
            <w:r>
              <w:rPr>
                <w:rFonts w:hint="eastAsia"/>
                <w:color w:val="auto"/>
                <w:sz w:val="18"/>
                <w:szCs w:val="18"/>
                <w:highlight w:val="none"/>
              </w:rPr>
              <w:t>生产企业</w:t>
            </w:r>
          </w:p>
        </w:tc>
        <w:tc>
          <w:tcPr>
            <w:tcW w:w="1020" w:type="dxa"/>
          </w:tcPr>
          <w:p>
            <w:pPr>
              <w:pStyle w:val="5"/>
              <w:spacing w:before="0" w:beforeAutospacing="0" w:after="0" w:afterAutospacing="0" w:line="340" w:lineRule="exact"/>
              <w:jc w:val="center"/>
              <w:rPr>
                <w:color w:val="auto"/>
                <w:sz w:val="18"/>
                <w:szCs w:val="18"/>
                <w:highlight w:val="none"/>
              </w:rPr>
            </w:pPr>
            <w:r>
              <w:rPr>
                <w:rFonts w:hint="eastAsia"/>
                <w:color w:val="auto"/>
                <w:sz w:val="18"/>
                <w:szCs w:val="18"/>
                <w:highlight w:val="none"/>
              </w:rPr>
              <w:t>试样数量（组）</w:t>
            </w:r>
          </w:p>
        </w:tc>
        <w:tc>
          <w:tcPr>
            <w:tcW w:w="1095" w:type="dxa"/>
          </w:tcPr>
          <w:p>
            <w:pPr>
              <w:pStyle w:val="5"/>
              <w:spacing w:before="0" w:beforeAutospacing="0" w:after="0" w:afterAutospacing="0" w:line="340" w:lineRule="exact"/>
              <w:jc w:val="center"/>
              <w:rPr>
                <w:color w:val="auto"/>
                <w:sz w:val="18"/>
                <w:szCs w:val="18"/>
                <w:highlight w:val="none"/>
              </w:rPr>
            </w:pPr>
            <w:r>
              <w:rPr>
                <w:rFonts w:hint="eastAsia"/>
                <w:color w:val="auto"/>
                <w:sz w:val="18"/>
                <w:szCs w:val="18"/>
                <w:highlight w:val="none"/>
              </w:rPr>
              <w:t>抗拉强度MPa平均值</w:t>
            </w:r>
          </w:p>
        </w:tc>
        <w:tc>
          <w:tcPr>
            <w:tcW w:w="1102" w:type="dxa"/>
          </w:tcPr>
          <w:p>
            <w:pPr>
              <w:pStyle w:val="5"/>
              <w:spacing w:before="0" w:beforeAutospacing="0" w:after="0" w:afterAutospacing="0" w:line="340" w:lineRule="exact"/>
              <w:jc w:val="center"/>
              <w:rPr>
                <w:color w:val="auto"/>
                <w:sz w:val="18"/>
                <w:szCs w:val="18"/>
                <w:highlight w:val="none"/>
              </w:rPr>
            </w:pPr>
            <w:r>
              <w:rPr>
                <w:rFonts w:hint="eastAsia"/>
                <w:color w:val="auto"/>
                <w:sz w:val="18"/>
                <w:szCs w:val="18"/>
                <w:highlight w:val="none"/>
              </w:rPr>
              <w:t>屈服强度MPa平均值</w:t>
            </w:r>
          </w:p>
        </w:tc>
        <w:tc>
          <w:tcPr>
            <w:tcW w:w="909" w:type="dxa"/>
          </w:tcPr>
          <w:p>
            <w:pPr>
              <w:pStyle w:val="5"/>
              <w:spacing w:before="0" w:beforeAutospacing="0" w:after="0" w:afterAutospacing="0" w:line="340" w:lineRule="exact"/>
              <w:jc w:val="center"/>
              <w:rPr>
                <w:color w:val="auto"/>
                <w:sz w:val="18"/>
                <w:szCs w:val="18"/>
                <w:highlight w:val="none"/>
              </w:rPr>
            </w:pPr>
            <w:r>
              <w:rPr>
                <w:rFonts w:hint="eastAsia"/>
                <w:color w:val="auto"/>
                <w:sz w:val="18"/>
                <w:szCs w:val="18"/>
                <w:highlight w:val="none"/>
              </w:rPr>
              <w:t>伸长率%</w:t>
            </w:r>
          </w:p>
          <w:p>
            <w:pPr>
              <w:pStyle w:val="5"/>
              <w:spacing w:before="0" w:beforeAutospacing="0" w:after="0" w:afterAutospacing="0" w:line="340" w:lineRule="exact"/>
              <w:jc w:val="center"/>
              <w:rPr>
                <w:color w:val="auto"/>
                <w:sz w:val="18"/>
                <w:szCs w:val="18"/>
                <w:highlight w:val="none"/>
              </w:rPr>
            </w:pPr>
            <w:r>
              <w:rPr>
                <w:rFonts w:hint="eastAsia"/>
                <w:color w:val="auto"/>
                <w:sz w:val="18"/>
                <w:szCs w:val="18"/>
                <w:highlight w:val="none"/>
              </w:rPr>
              <w:t>平均值</w:t>
            </w:r>
          </w:p>
        </w:tc>
        <w:tc>
          <w:tcPr>
            <w:tcW w:w="847" w:type="dxa"/>
          </w:tcPr>
          <w:p>
            <w:pPr>
              <w:pStyle w:val="5"/>
              <w:spacing w:before="0" w:beforeAutospacing="0" w:after="0" w:afterAutospacing="0" w:line="340" w:lineRule="exact"/>
              <w:jc w:val="center"/>
              <w:rPr>
                <w:color w:val="auto"/>
                <w:sz w:val="18"/>
                <w:szCs w:val="18"/>
                <w:highlight w:val="none"/>
              </w:rPr>
            </w:pPr>
            <w:r>
              <w:rPr>
                <w:rFonts w:hint="eastAsia"/>
                <w:color w:val="auto"/>
                <w:sz w:val="18"/>
                <w:szCs w:val="18"/>
                <w:highlight w:val="none"/>
              </w:rPr>
              <w:t>数据达标率%</w:t>
            </w:r>
          </w:p>
        </w:tc>
        <w:tc>
          <w:tcPr>
            <w:tcW w:w="1112" w:type="dxa"/>
          </w:tcPr>
          <w:p>
            <w:pPr>
              <w:pStyle w:val="5"/>
              <w:spacing w:before="0" w:beforeAutospacing="0" w:after="0" w:afterAutospacing="0" w:line="340" w:lineRule="exact"/>
              <w:jc w:val="center"/>
              <w:rPr>
                <w:color w:val="auto"/>
                <w:sz w:val="18"/>
                <w:szCs w:val="18"/>
                <w:highlight w:val="none"/>
              </w:rPr>
            </w:pPr>
            <w:r>
              <w:rPr>
                <w:rFonts w:hint="eastAsia"/>
                <w:color w:val="auto"/>
                <w:sz w:val="18"/>
                <w:szCs w:val="18"/>
                <w:highlight w:val="none"/>
              </w:rPr>
              <w:t>试样类型</w:t>
            </w:r>
          </w:p>
        </w:tc>
        <w:tc>
          <w:tcPr>
            <w:tcW w:w="1304" w:type="dxa"/>
          </w:tcPr>
          <w:p>
            <w:pPr>
              <w:pStyle w:val="5"/>
              <w:spacing w:before="0" w:beforeAutospacing="0" w:after="0" w:afterAutospacing="0" w:line="340" w:lineRule="exact"/>
              <w:jc w:val="center"/>
              <w:rPr>
                <w:color w:val="auto"/>
                <w:sz w:val="18"/>
                <w:szCs w:val="18"/>
                <w:highlight w:val="none"/>
              </w:rPr>
            </w:pPr>
            <w:r>
              <w:rPr>
                <w:rFonts w:hint="eastAsia"/>
                <w:color w:val="auto"/>
                <w:sz w:val="18"/>
                <w:szCs w:val="18"/>
                <w:highlight w:val="none"/>
              </w:rPr>
              <w:t>铸件主要壁厚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4" w:type="dxa"/>
          </w:tcPr>
          <w:p>
            <w:pPr>
              <w:pStyle w:val="5"/>
              <w:spacing w:before="0" w:beforeAutospacing="0" w:after="0" w:afterAutospacing="0" w:line="340" w:lineRule="exact"/>
              <w:jc w:val="center"/>
              <w:rPr>
                <w:color w:val="auto"/>
                <w:sz w:val="18"/>
                <w:szCs w:val="18"/>
                <w:highlight w:val="none"/>
              </w:rPr>
            </w:pPr>
            <w:r>
              <w:rPr>
                <w:rFonts w:hint="eastAsia"/>
                <w:color w:val="auto"/>
                <w:sz w:val="18"/>
                <w:szCs w:val="18"/>
                <w:highlight w:val="none"/>
              </w:rPr>
              <w:t>QT700-8</w:t>
            </w:r>
          </w:p>
        </w:tc>
        <w:tc>
          <w:tcPr>
            <w:tcW w:w="962" w:type="dxa"/>
          </w:tcPr>
          <w:p>
            <w:pPr>
              <w:pStyle w:val="5"/>
              <w:spacing w:before="0" w:beforeAutospacing="0" w:after="0" w:afterAutospacing="0" w:line="340" w:lineRule="exact"/>
              <w:jc w:val="center"/>
              <w:rPr>
                <w:color w:val="auto"/>
                <w:sz w:val="18"/>
                <w:szCs w:val="18"/>
                <w:highlight w:val="none"/>
              </w:rPr>
            </w:pPr>
            <w:r>
              <w:rPr>
                <w:rFonts w:hint="eastAsia"/>
                <w:color w:val="auto"/>
                <w:sz w:val="18"/>
                <w:szCs w:val="18"/>
                <w:highlight w:val="none"/>
              </w:rPr>
              <w:t>湖北普洱</w:t>
            </w:r>
          </w:p>
        </w:tc>
        <w:tc>
          <w:tcPr>
            <w:tcW w:w="1020" w:type="dxa"/>
          </w:tcPr>
          <w:p>
            <w:pPr>
              <w:pStyle w:val="5"/>
              <w:spacing w:before="0" w:beforeAutospacing="0" w:after="0" w:afterAutospacing="0" w:line="340" w:lineRule="exact"/>
              <w:jc w:val="center"/>
              <w:rPr>
                <w:color w:val="auto"/>
                <w:sz w:val="18"/>
                <w:szCs w:val="18"/>
                <w:highlight w:val="none"/>
              </w:rPr>
            </w:pPr>
            <w:r>
              <w:rPr>
                <w:rFonts w:hint="eastAsia"/>
                <w:color w:val="auto"/>
                <w:sz w:val="18"/>
                <w:szCs w:val="18"/>
                <w:highlight w:val="none"/>
              </w:rPr>
              <w:t>9</w:t>
            </w:r>
          </w:p>
        </w:tc>
        <w:tc>
          <w:tcPr>
            <w:tcW w:w="1095" w:type="dxa"/>
          </w:tcPr>
          <w:p>
            <w:pPr>
              <w:pStyle w:val="5"/>
              <w:spacing w:before="0" w:beforeAutospacing="0" w:after="0" w:afterAutospacing="0" w:line="340" w:lineRule="exact"/>
              <w:jc w:val="center"/>
              <w:rPr>
                <w:color w:val="auto"/>
                <w:sz w:val="18"/>
                <w:szCs w:val="18"/>
                <w:highlight w:val="none"/>
              </w:rPr>
            </w:pPr>
            <w:r>
              <w:rPr>
                <w:rFonts w:hint="eastAsia"/>
                <w:color w:val="auto"/>
                <w:sz w:val="18"/>
                <w:szCs w:val="18"/>
                <w:highlight w:val="none"/>
              </w:rPr>
              <w:t>832</w:t>
            </w:r>
          </w:p>
        </w:tc>
        <w:tc>
          <w:tcPr>
            <w:tcW w:w="1102" w:type="dxa"/>
          </w:tcPr>
          <w:p>
            <w:pPr>
              <w:pStyle w:val="5"/>
              <w:spacing w:before="0" w:beforeAutospacing="0" w:after="0" w:afterAutospacing="0" w:line="340" w:lineRule="exact"/>
              <w:jc w:val="center"/>
              <w:rPr>
                <w:color w:val="auto"/>
                <w:sz w:val="18"/>
                <w:szCs w:val="18"/>
                <w:highlight w:val="none"/>
              </w:rPr>
            </w:pPr>
            <w:r>
              <w:rPr>
                <w:rFonts w:hint="eastAsia"/>
                <w:color w:val="auto"/>
                <w:sz w:val="18"/>
                <w:szCs w:val="18"/>
                <w:highlight w:val="none"/>
              </w:rPr>
              <w:t>562</w:t>
            </w:r>
          </w:p>
        </w:tc>
        <w:tc>
          <w:tcPr>
            <w:tcW w:w="909" w:type="dxa"/>
          </w:tcPr>
          <w:p>
            <w:pPr>
              <w:pStyle w:val="5"/>
              <w:spacing w:before="0" w:beforeAutospacing="0" w:after="0" w:afterAutospacing="0" w:line="340" w:lineRule="exact"/>
              <w:jc w:val="center"/>
              <w:rPr>
                <w:color w:val="auto"/>
                <w:sz w:val="18"/>
                <w:szCs w:val="18"/>
                <w:highlight w:val="none"/>
              </w:rPr>
            </w:pPr>
            <w:r>
              <w:rPr>
                <w:rFonts w:hint="eastAsia"/>
                <w:color w:val="auto"/>
                <w:sz w:val="18"/>
                <w:szCs w:val="18"/>
                <w:highlight w:val="none"/>
              </w:rPr>
              <w:t>8.9</w:t>
            </w:r>
          </w:p>
        </w:tc>
        <w:tc>
          <w:tcPr>
            <w:tcW w:w="847" w:type="dxa"/>
          </w:tcPr>
          <w:p>
            <w:pPr>
              <w:pStyle w:val="5"/>
              <w:spacing w:before="0" w:beforeAutospacing="0" w:after="0" w:afterAutospacing="0" w:line="340" w:lineRule="exact"/>
              <w:jc w:val="center"/>
              <w:rPr>
                <w:color w:val="auto"/>
                <w:sz w:val="18"/>
                <w:szCs w:val="18"/>
                <w:highlight w:val="none"/>
              </w:rPr>
            </w:pPr>
            <w:r>
              <w:rPr>
                <w:rFonts w:hint="eastAsia"/>
                <w:color w:val="auto"/>
                <w:sz w:val="18"/>
                <w:szCs w:val="18"/>
                <w:highlight w:val="none"/>
              </w:rPr>
              <w:t>88.98</w:t>
            </w:r>
          </w:p>
        </w:tc>
        <w:tc>
          <w:tcPr>
            <w:tcW w:w="1112" w:type="dxa"/>
          </w:tcPr>
          <w:p>
            <w:pPr>
              <w:pStyle w:val="5"/>
              <w:spacing w:before="0" w:beforeAutospacing="0" w:after="0" w:afterAutospacing="0" w:line="340" w:lineRule="exact"/>
              <w:jc w:val="center"/>
              <w:rPr>
                <w:color w:val="auto"/>
                <w:sz w:val="18"/>
                <w:szCs w:val="18"/>
                <w:highlight w:val="none"/>
              </w:rPr>
            </w:pPr>
            <w:r>
              <w:rPr>
                <w:rFonts w:hint="eastAsia"/>
                <w:color w:val="auto"/>
                <w:sz w:val="18"/>
                <w:szCs w:val="18"/>
                <w:highlight w:val="none"/>
              </w:rPr>
              <w:t>本体试样</w:t>
            </w:r>
          </w:p>
        </w:tc>
        <w:tc>
          <w:tcPr>
            <w:tcW w:w="1304" w:type="dxa"/>
          </w:tcPr>
          <w:p>
            <w:pPr>
              <w:pStyle w:val="5"/>
              <w:spacing w:before="0" w:beforeAutospacing="0" w:after="0" w:afterAutospacing="0" w:line="340" w:lineRule="exact"/>
              <w:jc w:val="center"/>
              <w:rPr>
                <w:color w:val="auto"/>
                <w:sz w:val="18"/>
                <w:szCs w:val="18"/>
                <w:highlight w:val="none"/>
              </w:rPr>
            </w:pPr>
            <w:r>
              <w:rPr>
                <w:rFonts w:hint="eastAsia"/>
                <w:color w:val="auto"/>
                <w:sz w:val="18"/>
                <w:szCs w:val="18"/>
                <w:highlight w:val="none"/>
              </w:rPr>
              <w:t>12-30mm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4" w:type="dxa"/>
          </w:tcPr>
          <w:p>
            <w:pPr>
              <w:pStyle w:val="5"/>
              <w:spacing w:before="0" w:beforeAutospacing="0" w:after="0" w:afterAutospacing="0" w:line="340" w:lineRule="exact"/>
              <w:jc w:val="center"/>
              <w:rPr>
                <w:color w:val="auto"/>
                <w:sz w:val="18"/>
                <w:szCs w:val="18"/>
                <w:highlight w:val="none"/>
              </w:rPr>
            </w:pPr>
            <w:r>
              <w:rPr>
                <w:rFonts w:hint="eastAsia"/>
                <w:color w:val="auto"/>
                <w:sz w:val="18"/>
                <w:szCs w:val="18"/>
                <w:highlight w:val="none"/>
              </w:rPr>
              <w:t>QT700-10</w:t>
            </w:r>
          </w:p>
        </w:tc>
        <w:tc>
          <w:tcPr>
            <w:tcW w:w="962" w:type="dxa"/>
          </w:tcPr>
          <w:p>
            <w:pPr>
              <w:pStyle w:val="5"/>
              <w:spacing w:before="0" w:beforeAutospacing="0" w:after="0" w:afterAutospacing="0" w:line="340" w:lineRule="exact"/>
              <w:jc w:val="center"/>
              <w:rPr>
                <w:color w:val="auto"/>
                <w:sz w:val="18"/>
                <w:szCs w:val="18"/>
                <w:highlight w:val="none"/>
              </w:rPr>
            </w:pPr>
            <w:r>
              <w:rPr>
                <w:rFonts w:hint="eastAsia"/>
                <w:color w:val="auto"/>
                <w:sz w:val="18"/>
                <w:szCs w:val="18"/>
                <w:highlight w:val="none"/>
              </w:rPr>
              <w:t>山东宇信</w:t>
            </w:r>
          </w:p>
        </w:tc>
        <w:tc>
          <w:tcPr>
            <w:tcW w:w="1020" w:type="dxa"/>
          </w:tcPr>
          <w:p>
            <w:pPr>
              <w:pStyle w:val="5"/>
              <w:spacing w:before="0" w:beforeAutospacing="0" w:after="0" w:afterAutospacing="0" w:line="340" w:lineRule="exact"/>
              <w:jc w:val="center"/>
              <w:rPr>
                <w:color w:val="auto"/>
                <w:sz w:val="18"/>
                <w:szCs w:val="18"/>
                <w:highlight w:val="none"/>
              </w:rPr>
            </w:pPr>
            <w:r>
              <w:rPr>
                <w:rFonts w:hint="eastAsia"/>
                <w:color w:val="auto"/>
                <w:sz w:val="18"/>
                <w:szCs w:val="18"/>
                <w:highlight w:val="none"/>
              </w:rPr>
              <w:t>20</w:t>
            </w:r>
          </w:p>
        </w:tc>
        <w:tc>
          <w:tcPr>
            <w:tcW w:w="1095" w:type="dxa"/>
          </w:tcPr>
          <w:p>
            <w:pPr>
              <w:pStyle w:val="5"/>
              <w:spacing w:before="0" w:beforeAutospacing="0" w:after="0" w:afterAutospacing="0" w:line="340" w:lineRule="exact"/>
              <w:jc w:val="center"/>
              <w:rPr>
                <w:color w:val="auto"/>
                <w:sz w:val="18"/>
                <w:szCs w:val="18"/>
                <w:highlight w:val="none"/>
              </w:rPr>
            </w:pPr>
            <w:r>
              <w:rPr>
                <w:rFonts w:hint="eastAsia"/>
                <w:color w:val="auto"/>
                <w:sz w:val="18"/>
                <w:szCs w:val="18"/>
                <w:highlight w:val="none"/>
              </w:rPr>
              <w:t>778</w:t>
            </w:r>
          </w:p>
        </w:tc>
        <w:tc>
          <w:tcPr>
            <w:tcW w:w="1102" w:type="dxa"/>
          </w:tcPr>
          <w:p>
            <w:pPr>
              <w:pStyle w:val="5"/>
              <w:spacing w:before="0" w:beforeAutospacing="0" w:after="0" w:afterAutospacing="0" w:line="340" w:lineRule="exact"/>
              <w:jc w:val="center"/>
              <w:rPr>
                <w:color w:val="auto"/>
                <w:sz w:val="18"/>
                <w:szCs w:val="18"/>
                <w:highlight w:val="none"/>
              </w:rPr>
            </w:pPr>
            <w:r>
              <w:rPr>
                <w:rFonts w:hint="eastAsia"/>
                <w:color w:val="auto"/>
                <w:sz w:val="18"/>
                <w:szCs w:val="18"/>
                <w:highlight w:val="none"/>
              </w:rPr>
              <w:t>447</w:t>
            </w:r>
          </w:p>
        </w:tc>
        <w:tc>
          <w:tcPr>
            <w:tcW w:w="909" w:type="dxa"/>
          </w:tcPr>
          <w:p>
            <w:pPr>
              <w:pStyle w:val="5"/>
              <w:spacing w:before="0" w:beforeAutospacing="0" w:after="0" w:afterAutospacing="0" w:line="340" w:lineRule="exact"/>
              <w:jc w:val="center"/>
              <w:rPr>
                <w:color w:val="auto"/>
                <w:sz w:val="18"/>
                <w:szCs w:val="18"/>
                <w:highlight w:val="none"/>
              </w:rPr>
            </w:pPr>
            <w:r>
              <w:rPr>
                <w:rFonts w:hint="eastAsia"/>
                <w:color w:val="auto"/>
                <w:sz w:val="18"/>
                <w:szCs w:val="18"/>
                <w:highlight w:val="none"/>
              </w:rPr>
              <w:t>10.4</w:t>
            </w:r>
          </w:p>
        </w:tc>
        <w:tc>
          <w:tcPr>
            <w:tcW w:w="847" w:type="dxa"/>
          </w:tcPr>
          <w:p>
            <w:pPr>
              <w:pStyle w:val="5"/>
              <w:spacing w:before="0" w:beforeAutospacing="0" w:after="0" w:afterAutospacing="0" w:line="340" w:lineRule="exact"/>
              <w:jc w:val="center"/>
              <w:rPr>
                <w:color w:val="auto"/>
                <w:sz w:val="18"/>
                <w:szCs w:val="18"/>
                <w:highlight w:val="none"/>
              </w:rPr>
            </w:pPr>
            <w:r>
              <w:rPr>
                <w:rFonts w:hint="eastAsia"/>
                <w:color w:val="auto"/>
                <w:sz w:val="18"/>
                <w:szCs w:val="18"/>
                <w:highlight w:val="none"/>
              </w:rPr>
              <w:t>50</w:t>
            </w:r>
          </w:p>
        </w:tc>
        <w:tc>
          <w:tcPr>
            <w:tcW w:w="1112" w:type="dxa"/>
          </w:tcPr>
          <w:p>
            <w:pPr>
              <w:pStyle w:val="5"/>
              <w:spacing w:before="0" w:beforeAutospacing="0" w:after="0" w:afterAutospacing="0" w:line="340" w:lineRule="exact"/>
              <w:jc w:val="center"/>
              <w:rPr>
                <w:color w:val="auto"/>
                <w:sz w:val="18"/>
                <w:szCs w:val="18"/>
                <w:highlight w:val="none"/>
              </w:rPr>
            </w:pPr>
            <w:r>
              <w:rPr>
                <w:rFonts w:hint="eastAsia"/>
                <w:color w:val="auto"/>
                <w:sz w:val="18"/>
                <w:szCs w:val="18"/>
                <w:highlight w:val="none"/>
              </w:rPr>
              <w:t>并排试块</w:t>
            </w:r>
          </w:p>
        </w:tc>
        <w:tc>
          <w:tcPr>
            <w:tcW w:w="1304" w:type="dxa"/>
          </w:tcPr>
          <w:p>
            <w:pPr>
              <w:pStyle w:val="5"/>
              <w:spacing w:before="0" w:beforeAutospacing="0" w:after="0" w:afterAutospacing="0" w:line="340" w:lineRule="exact"/>
              <w:jc w:val="center"/>
              <w:rPr>
                <w:color w:val="auto"/>
                <w:sz w:val="18"/>
                <w:szCs w:val="18"/>
                <w:highlight w:val="none"/>
              </w:rPr>
            </w:pPr>
            <w:r>
              <w:rPr>
                <w:rFonts w:hint="eastAsia"/>
                <w:color w:val="auto"/>
                <w:sz w:val="18"/>
                <w:szCs w:val="18"/>
                <w:highlight w:val="none"/>
              </w:rPr>
              <w:t>10-20mm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4" w:type="dxa"/>
          </w:tcPr>
          <w:p>
            <w:pPr>
              <w:pStyle w:val="5"/>
              <w:spacing w:before="0" w:beforeAutospacing="0" w:after="0" w:afterAutospacing="0" w:line="340" w:lineRule="exact"/>
              <w:jc w:val="center"/>
              <w:rPr>
                <w:color w:val="auto"/>
                <w:sz w:val="18"/>
                <w:szCs w:val="18"/>
                <w:highlight w:val="none"/>
              </w:rPr>
            </w:pPr>
            <w:r>
              <w:rPr>
                <w:rFonts w:hint="eastAsia"/>
                <w:color w:val="auto"/>
                <w:sz w:val="18"/>
                <w:szCs w:val="18"/>
                <w:highlight w:val="none"/>
              </w:rPr>
              <w:t>QT700-10</w:t>
            </w:r>
          </w:p>
        </w:tc>
        <w:tc>
          <w:tcPr>
            <w:tcW w:w="962" w:type="dxa"/>
          </w:tcPr>
          <w:p>
            <w:pPr>
              <w:pStyle w:val="5"/>
              <w:spacing w:before="0" w:beforeAutospacing="0" w:after="0" w:afterAutospacing="0" w:line="340" w:lineRule="exact"/>
              <w:jc w:val="center"/>
              <w:rPr>
                <w:color w:val="auto"/>
                <w:sz w:val="18"/>
                <w:szCs w:val="18"/>
                <w:highlight w:val="none"/>
              </w:rPr>
            </w:pPr>
            <w:r>
              <w:rPr>
                <w:rFonts w:hint="eastAsia"/>
                <w:color w:val="auto"/>
                <w:sz w:val="18"/>
                <w:szCs w:val="18"/>
                <w:highlight w:val="none"/>
              </w:rPr>
              <w:t>广西玉柴</w:t>
            </w:r>
          </w:p>
        </w:tc>
        <w:tc>
          <w:tcPr>
            <w:tcW w:w="1020" w:type="dxa"/>
          </w:tcPr>
          <w:p>
            <w:pPr>
              <w:pStyle w:val="5"/>
              <w:spacing w:before="0" w:beforeAutospacing="0" w:after="0" w:afterAutospacing="0" w:line="340" w:lineRule="exact"/>
              <w:jc w:val="center"/>
              <w:rPr>
                <w:color w:val="auto"/>
                <w:sz w:val="18"/>
                <w:szCs w:val="18"/>
                <w:highlight w:val="none"/>
              </w:rPr>
            </w:pPr>
            <w:r>
              <w:rPr>
                <w:rFonts w:hint="eastAsia"/>
                <w:color w:val="auto"/>
                <w:sz w:val="18"/>
                <w:szCs w:val="18"/>
                <w:highlight w:val="none"/>
              </w:rPr>
              <w:t>206</w:t>
            </w:r>
          </w:p>
        </w:tc>
        <w:tc>
          <w:tcPr>
            <w:tcW w:w="1095" w:type="dxa"/>
          </w:tcPr>
          <w:p>
            <w:pPr>
              <w:pStyle w:val="5"/>
              <w:spacing w:before="0" w:beforeAutospacing="0" w:after="0" w:afterAutospacing="0" w:line="340" w:lineRule="exact"/>
              <w:jc w:val="center"/>
              <w:rPr>
                <w:color w:val="auto"/>
                <w:sz w:val="18"/>
                <w:szCs w:val="18"/>
                <w:highlight w:val="none"/>
              </w:rPr>
            </w:pPr>
            <w:r>
              <w:rPr>
                <w:rFonts w:hint="eastAsia"/>
                <w:color w:val="auto"/>
                <w:sz w:val="18"/>
                <w:szCs w:val="18"/>
                <w:highlight w:val="none"/>
              </w:rPr>
              <w:t>720</w:t>
            </w:r>
          </w:p>
        </w:tc>
        <w:tc>
          <w:tcPr>
            <w:tcW w:w="1102" w:type="dxa"/>
          </w:tcPr>
          <w:p>
            <w:pPr>
              <w:pStyle w:val="5"/>
              <w:spacing w:before="0" w:beforeAutospacing="0" w:after="0" w:afterAutospacing="0" w:line="340" w:lineRule="exact"/>
              <w:jc w:val="center"/>
              <w:rPr>
                <w:color w:val="auto"/>
                <w:sz w:val="18"/>
                <w:szCs w:val="18"/>
                <w:highlight w:val="none"/>
              </w:rPr>
            </w:pPr>
            <w:r>
              <w:rPr>
                <w:rFonts w:hint="eastAsia"/>
                <w:color w:val="auto"/>
                <w:sz w:val="18"/>
                <w:szCs w:val="18"/>
                <w:highlight w:val="none"/>
              </w:rPr>
              <w:t>421</w:t>
            </w:r>
          </w:p>
        </w:tc>
        <w:tc>
          <w:tcPr>
            <w:tcW w:w="909" w:type="dxa"/>
          </w:tcPr>
          <w:p>
            <w:pPr>
              <w:pStyle w:val="5"/>
              <w:spacing w:before="0" w:beforeAutospacing="0" w:after="0" w:afterAutospacing="0" w:line="340" w:lineRule="exact"/>
              <w:jc w:val="center"/>
              <w:rPr>
                <w:color w:val="auto"/>
                <w:sz w:val="18"/>
                <w:szCs w:val="18"/>
                <w:highlight w:val="none"/>
              </w:rPr>
            </w:pPr>
            <w:r>
              <w:rPr>
                <w:rFonts w:hint="eastAsia"/>
                <w:color w:val="auto"/>
                <w:sz w:val="18"/>
                <w:szCs w:val="18"/>
                <w:highlight w:val="none"/>
              </w:rPr>
              <w:t>10</w:t>
            </w:r>
          </w:p>
        </w:tc>
        <w:tc>
          <w:tcPr>
            <w:tcW w:w="847" w:type="dxa"/>
          </w:tcPr>
          <w:p>
            <w:pPr>
              <w:pStyle w:val="5"/>
              <w:spacing w:before="0" w:beforeAutospacing="0" w:after="0" w:afterAutospacing="0" w:line="340" w:lineRule="exact"/>
              <w:jc w:val="center"/>
              <w:rPr>
                <w:color w:val="auto"/>
                <w:sz w:val="18"/>
                <w:szCs w:val="18"/>
                <w:highlight w:val="none"/>
              </w:rPr>
            </w:pPr>
            <w:r>
              <w:rPr>
                <w:rFonts w:hint="eastAsia"/>
                <w:color w:val="auto"/>
                <w:sz w:val="18"/>
                <w:szCs w:val="18"/>
                <w:highlight w:val="none"/>
              </w:rPr>
              <w:t>27</w:t>
            </w:r>
          </w:p>
        </w:tc>
        <w:tc>
          <w:tcPr>
            <w:tcW w:w="1112" w:type="dxa"/>
          </w:tcPr>
          <w:p>
            <w:pPr>
              <w:pStyle w:val="5"/>
              <w:spacing w:before="0" w:beforeAutospacing="0" w:after="0" w:afterAutospacing="0" w:line="340" w:lineRule="exact"/>
              <w:jc w:val="center"/>
              <w:rPr>
                <w:color w:val="auto"/>
                <w:sz w:val="18"/>
                <w:szCs w:val="18"/>
                <w:highlight w:val="none"/>
              </w:rPr>
            </w:pPr>
            <w:r>
              <w:rPr>
                <w:rFonts w:hint="eastAsia"/>
                <w:color w:val="auto"/>
                <w:sz w:val="18"/>
                <w:szCs w:val="18"/>
                <w:highlight w:val="none"/>
              </w:rPr>
              <w:t>本体试样</w:t>
            </w:r>
          </w:p>
        </w:tc>
        <w:tc>
          <w:tcPr>
            <w:tcW w:w="1304" w:type="dxa"/>
          </w:tcPr>
          <w:p>
            <w:pPr>
              <w:pStyle w:val="5"/>
              <w:spacing w:before="0" w:beforeAutospacing="0" w:after="0" w:afterAutospacing="0" w:line="340" w:lineRule="exact"/>
              <w:jc w:val="center"/>
              <w:rPr>
                <w:color w:val="auto"/>
                <w:sz w:val="18"/>
                <w:szCs w:val="18"/>
                <w:highlight w:val="none"/>
              </w:rPr>
            </w:pPr>
            <w:r>
              <w:rPr>
                <w:rFonts w:hint="eastAsia"/>
                <w:color w:val="auto"/>
                <w:sz w:val="18"/>
                <w:szCs w:val="18"/>
                <w:highlight w:val="none"/>
              </w:rPr>
              <w:t>12-30mm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4" w:type="dxa"/>
          </w:tcPr>
          <w:p>
            <w:pPr>
              <w:pStyle w:val="5"/>
              <w:spacing w:before="0" w:beforeAutospacing="0" w:after="0" w:afterAutospacing="0" w:line="340" w:lineRule="exact"/>
              <w:jc w:val="center"/>
              <w:rPr>
                <w:color w:val="auto"/>
                <w:sz w:val="18"/>
                <w:szCs w:val="18"/>
                <w:highlight w:val="none"/>
              </w:rPr>
            </w:pPr>
            <w:r>
              <w:rPr>
                <w:rFonts w:hint="eastAsia"/>
                <w:color w:val="auto"/>
                <w:sz w:val="18"/>
                <w:szCs w:val="18"/>
                <w:highlight w:val="none"/>
              </w:rPr>
              <w:t>QT700-10</w:t>
            </w:r>
          </w:p>
        </w:tc>
        <w:tc>
          <w:tcPr>
            <w:tcW w:w="962" w:type="dxa"/>
          </w:tcPr>
          <w:p>
            <w:pPr>
              <w:pStyle w:val="5"/>
              <w:spacing w:before="0" w:beforeAutospacing="0" w:after="0" w:afterAutospacing="0" w:line="340" w:lineRule="exact"/>
              <w:jc w:val="center"/>
              <w:rPr>
                <w:color w:val="auto"/>
                <w:sz w:val="18"/>
                <w:szCs w:val="18"/>
                <w:highlight w:val="none"/>
              </w:rPr>
            </w:pPr>
            <w:r>
              <w:rPr>
                <w:rFonts w:hint="eastAsia"/>
                <w:color w:val="auto"/>
                <w:sz w:val="18"/>
                <w:szCs w:val="18"/>
                <w:highlight w:val="none"/>
              </w:rPr>
              <w:t>广西玉柴</w:t>
            </w:r>
          </w:p>
        </w:tc>
        <w:tc>
          <w:tcPr>
            <w:tcW w:w="1020" w:type="dxa"/>
          </w:tcPr>
          <w:p>
            <w:pPr>
              <w:pStyle w:val="5"/>
              <w:spacing w:before="0" w:beforeAutospacing="0" w:after="0" w:afterAutospacing="0" w:line="340" w:lineRule="exact"/>
              <w:jc w:val="center"/>
              <w:rPr>
                <w:color w:val="auto"/>
                <w:sz w:val="18"/>
                <w:szCs w:val="18"/>
                <w:highlight w:val="none"/>
              </w:rPr>
            </w:pPr>
            <w:r>
              <w:rPr>
                <w:rFonts w:hint="eastAsia"/>
                <w:color w:val="auto"/>
                <w:sz w:val="18"/>
                <w:szCs w:val="18"/>
                <w:highlight w:val="none"/>
              </w:rPr>
              <w:t>56</w:t>
            </w:r>
          </w:p>
        </w:tc>
        <w:tc>
          <w:tcPr>
            <w:tcW w:w="1095" w:type="dxa"/>
          </w:tcPr>
          <w:p>
            <w:pPr>
              <w:pStyle w:val="5"/>
              <w:spacing w:before="0" w:beforeAutospacing="0" w:after="0" w:afterAutospacing="0" w:line="340" w:lineRule="exact"/>
              <w:jc w:val="center"/>
              <w:rPr>
                <w:color w:val="auto"/>
                <w:sz w:val="18"/>
                <w:szCs w:val="18"/>
                <w:highlight w:val="none"/>
              </w:rPr>
            </w:pPr>
            <w:r>
              <w:rPr>
                <w:rFonts w:hint="eastAsia"/>
                <w:color w:val="auto"/>
                <w:sz w:val="18"/>
                <w:szCs w:val="18"/>
                <w:highlight w:val="none"/>
              </w:rPr>
              <w:t>793</w:t>
            </w:r>
          </w:p>
        </w:tc>
        <w:tc>
          <w:tcPr>
            <w:tcW w:w="1102" w:type="dxa"/>
          </w:tcPr>
          <w:p>
            <w:pPr>
              <w:pStyle w:val="5"/>
              <w:spacing w:before="0" w:beforeAutospacing="0" w:after="0" w:afterAutospacing="0" w:line="340" w:lineRule="exact"/>
              <w:jc w:val="center"/>
              <w:rPr>
                <w:color w:val="auto"/>
                <w:sz w:val="18"/>
                <w:szCs w:val="18"/>
                <w:highlight w:val="none"/>
              </w:rPr>
            </w:pPr>
            <w:r>
              <w:rPr>
                <w:rFonts w:hint="eastAsia"/>
                <w:color w:val="auto"/>
                <w:sz w:val="18"/>
                <w:szCs w:val="18"/>
                <w:highlight w:val="none"/>
              </w:rPr>
              <w:t>476</w:t>
            </w:r>
          </w:p>
        </w:tc>
        <w:tc>
          <w:tcPr>
            <w:tcW w:w="909" w:type="dxa"/>
            <w:shd w:val="clear" w:color="auto" w:fill="auto"/>
          </w:tcPr>
          <w:p>
            <w:pPr>
              <w:pStyle w:val="5"/>
              <w:spacing w:before="0" w:beforeAutospacing="0" w:after="0" w:afterAutospacing="0" w:line="340" w:lineRule="exact"/>
              <w:jc w:val="center"/>
              <w:rPr>
                <w:color w:val="auto"/>
                <w:sz w:val="18"/>
                <w:szCs w:val="18"/>
                <w:highlight w:val="none"/>
              </w:rPr>
            </w:pPr>
            <w:r>
              <w:rPr>
                <w:rFonts w:hint="eastAsia"/>
                <w:color w:val="auto"/>
                <w:sz w:val="18"/>
                <w:szCs w:val="18"/>
                <w:highlight w:val="none"/>
              </w:rPr>
              <w:t>8.2</w:t>
            </w:r>
          </w:p>
        </w:tc>
        <w:tc>
          <w:tcPr>
            <w:tcW w:w="847" w:type="dxa"/>
            <w:shd w:val="clear" w:color="auto" w:fill="auto"/>
          </w:tcPr>
          <w:p>
            <w:pPr>
              <w:pStyle w:val="5"/>
              <w:spacing w:before="0" w:beforeAutospacing="0" w:after="0" w:afterAutospacing="0" w:line="340" w:lineRule="exact"/>
              <w:jc w:val="center"/>
              <w:rPr>
                <w:color w:val="auto"/>
                <w:sz w:val="18"/>
                <w:szCs w:val="18"/>
                <w:highlight w:val="none"/>
              </w:rPr>
            </w:pPr>
            <w:r>
              <w:rPr>
                <w:rFonts w:hint="eastAsia"/>
                <w:color w:val="auto"/>
                <w:sz w:val="18"/>
                <w:szCs w:val="18"/>
                <w:highlight w:val="none"/>
              </w:rPr>
              <w:t>100</w:t>
            </w:r>
          </w:p>
        </w:tc>
        <w:tc>
          <w:tcPr>
            <w:tcW w:w="1112" w:type="dxa"/>
          </w:tcPr>
          <w:p>
            <w:pPr>
              <w:pStyle w:val="5"/>
              <w:spacing w:before="0" w:beforeAutospacing="0" w:after="0" w:afterAutospacing="0" w:line="340" w:lineRule="exact"/>
              <w:jc w:val="center"/>
              <w:rPr>
                <w:color w:val="auto"/>
                <w:sz w:val="18"/>
                <w:szCs w:val="18"/>
                <w:highlight w:val="none"/>
              </w:rPr>
            </w:pPr>
            <w:r>
              <w:rPr>
                <w:rFonts w:hint="eastAsia"/>
                <w:color w:val="auto"/>
                <w:sz w:val="18"/>
                <w:szCs w:val="18"/>
                <w:highlight w:val="none"/>
              </w:rPr>
              <w:t>本体试样</w:t>
            </w:r>
          </w:p>
        </w:tc>
        <w:tc>
          <w:tcPr>
            <w:tcW w:w="1304" w:type="dxa"/>
          </w:tcPr>
          <w:p>
            <w:pPr>
              <w:pStyle w:val="5"/>
              <w:spacing w:before="0" w:beforeAutospacing="0" w:after="0" w:afterAutospacing="0" w:line="340" w:lineRule="exact"/>
              <w:jc w:val="center"/>
              <w:rPr>
                <w:color w:val="auto"/>
                <w:sz w:val="18"/>
                <w:szCs w:val="18"/>
                <w:highlight w:val="none"/>
              </w:rPr>
            </w:pPr>
            <w:r>
              <w:rPr>
                <w:rFonts w:hint="eastAsia"/>
                <w:color w:val="auto"/>
                <w:sz w:val="18"/>
                <w:szCs w:val="18"/>
                <w:highlight w:val="none"/>
              </w:rPr>
              <w:t>90-120mm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4" w:type="dxa"/>
          </w:tcPr>
          <w:p>
            <w:pPr>
              <w:pStyle w:val="5"/>
              <w:spacing w:before="0" w:beforeAutospacing="0" w:after="0" w:afterAutospacing="0" w:line="340" w:lineRule="exact"/>
              <w:jc w:val="center"/>
              <w:rPr>
                <w:color w:val="auto"/>
                <w:sz w:val="18"/>
                <w:szCs w:val="18"/>
                <w:highlight w:val="none"/>
              </w:rPr>
            </w:pPr>
            <w:r>
              <w:rPr>
                <w:rFonts w:hint="eastAsia"/>
                <w:color w:val="auto"/>
                <w:sz w:val="18"/>
                <w:szCs w:val="18"/>
                <w:highlight w:val="none"/>
              </w:rPr>
              <w:t>QT800-5</w:t>
            </w:r>
          </w:p>
        </w:tc>
        <w:tc>
          <w:tcPr>
            <w:tcW w:w="962" w:type="dxa"/>
          </w:tcPr>
          <w:p>
            <w:pPr>
              <w:pStyle w:val="5"/>
              <w:spacing w:before="0" w:beforeAutospacing="0" w:after="0" w:afterAutospacing="0" w:line="340" w:lineRule="exact"/>
              <w:jc w:val="center"/>
              <w:rPr>
                <w:color w:val="auto"/>
                <w:sz w:val="18"/>
                <w:szCs w:val="18"/>
                <w:highlight w:val="none"/>
              </w:rPr>
            </w:pPr>
            <w:r>
              <w:rPr>
                <w:rFonts w:hint="eastAsia"/>
                <w:color w:val="auto"/>
                <w:sz w:val="18"/>
                <w:szCs w:val="18"/>
                <w:highlight w:val="none"/>
              </w:rPr>
              <w:t>湖北普洱</w:t>
            </w:r>
          </w:p>
        </w:tc>
        <w:tc>
          <w:tcPr>
            <w:tcW w:w="1020" w:type="dxa"/>
          </w:tcPr>
          <w:p>
            <w:pPr>
              <w:pStyle w:val="5"/>
              <w:spacing w:before="0" w:beforeAutospacing="0" w:after="0" w:afterAutospacing="0" w:line="340" w:lineRule="exact"/>
              <w:jc w:val="center"/>
              <w:rPr>
                <w:color w:val="auto"/>
                <w:sz w:val="18"/>
                <w:szCs w:val="18"/>
                <w:highlight w:val="none"/>
              </w:rPr>
            </w:pPr>
            <w:r>
              <w:rPr>
                <w:rFonts w:hint="eastAsia"/>
                <w:color w:val="auto"/>
                <w:sz w:val="18"/>
                <w:szCs w:val="18"/>
                <w:highlight w:val="none"/>
              </w:rPr>
              <w:t>122</w:t>
            </w:r>
          </w:p>
        </w:tc>
        <w:tc>
          <w:tcPr>
            <w:tcW w:w="1095" w:type="dxa"/>
          </w:tcPr>
          <w:p>
            <w:pPr>
              <w:pStyle w:val="5"/>
              <w:spacing w:before="0" w:beforeAutospacing="0" w:after="0" w:afterAutospacing="0" w:line="340" w:lineRule="exact"/>
              <w:jc w:val="center"/>
              <w:rPr>
                <w:color w:val="auto"/>
                <w:sz w:val="18"/>
                <w:szCs w:val="18"/>
                <w:highlight w:val="none"/>
              </w:rPr>
            </w:pPr>
            <w:r>
              <w:rPr>
                <w:rFonts w:hint="eastAsia"/>
                <w:color w:val="auto"/>
                <w:sz w:val="18"/>
                <w:szCs w:val="18"/>
                <w:highlight w:val="none"/>
              </w:rPr>
              <w:t>885.58</w:t>
            </w:r>
          </w:p>
        </w:tc>
        <w:tc>
          <w:tcPr>
            <w:tcW w:w="1102" w:type="dxa"/>
          </w:tcPr>
          <w:p>
            <w:pPr>
              <w:pStyle w:val="5"/>
              <w:spacing w:before="0" w:beforeAutospacing="0" w:after="0" w:afterAutospacing="0" w:line="340" w:lineRule="exact"/>
              <w:jc w:val="center"/>
              <w:rPr>
                <w:color w:val="auto"/>
                <w:sz w:val="18"/>
                <w:szCs w:val="18"/>
                <w:highlight w:val="none"/>
              </w:rPr>
            </w:pPr>
            <w:r>
              <w:rPr>
                <w:rFonts w:hint="eastAsia"/>
                <w:color w:val="auto"/>
                <w:sz w:val="18"/>
                <w:szCs w:val="18"/>
                <w:highlight w:val="none"/>
              </w:rPr>
              <w:t>556.99</w:t>
            </w:r>
          </w:p>
        </w:tc>
        <w:tc>
          <w:tcPr>
            <w:tcW w:w="909" w:type="dxa"/>
          </w:tcPr>
          <w:p>
            <w:pPr>
              <w:pStyle w:val="5"/>
              <w:spacing w:before="0" w:beforeAutospacing="0" w:after="0" w:afterAutospacing="0" w:line="340" w:lineRule="exact"/>
              <w:jc w:val="center"/>
              <w:rPr>
                <w:color w:val="auto"/>
                <w:sz w:val="18"/>
                <w:szCs w:val="18"/>
                <w:highlight w:val="none"/>
              </w:rPr>
            </w:pPr>
            <w:r>
              <w:rPr>
                <w:rFonts w:hint="eastAsia"/>
                <w:color w:val="auto"/>
                <w:sz w:val="18"/>
                <w:szCs w:val="18"/>
                <w:highlight w:val="none"/>
              </w:rPr>
              <w:t>6.58</w:t>
            </w:r>
          </w:p>
        </w:tc>
        <w:tc>
          <w:tcPr>
            <w:tcW w:w="847" w:type="dxa"/>
          </w:tcPr>
          <w:p>
            <w:pPr>
              <w:pStyle w:val="5"/>
              <w:spacing w:before="0" w:beforeAutospacing="0" w:after="0" w:afterAutospacing="0" w:line="340" w:lineRule="exact"/>
              <w:jc w:val="center"/>
              <w:rPr>
                <w:color w:val="auto"/>
                <w:sz w:val="18"/>
                <w:szCs w:val="18"/>
                <w:highlight w:val="none"/>
              </w:rPr>
            </w:pPr>
            <w:r>
              <w:rPr>
                <w:rFonts w:hint="eastAsia"/>
                <w:color w:val="auto"/>
                <w:sz w:val="18"/>
                <w:szCs w:val="18"/>
                <w:highlight w:val="none"/>
              </w:rPr>
              <w:t>100</w:t>
            </w:r>
          </w:p>
        </w:tc>
        <w:tc>
          <w:tcPr>
            <w:tcW w:w="1112" w:type="dxa"/>
          </w:tcPr>
          <w:p>
            <w:pPr>
              <w:pStyle w:val="5"/>
              <w:spacing w:before="0" w:beforeAutospacing="0" w:after="0" w:afterAutospacing="0" w:line="340" w:lineRule="exact"/>
              <w:jc w:val="center"/>
              <w:rPr>
                <w:color w:val="auto"/>
                <w:sz w:val="18"/>
                <w:szCs w:val="18"/>
                <w:highlight w:val="none"/>
              </w:rPr>
            </w:pPr>
            <w:r>
              <w:rPr>
                <w:rFonts w:hint="eastAsia"/>
                <w:color w:val="auto"/>
                <w:sz w:val="18"/>
                <w:szCs w:val="18"/>
                <w:highlight w:val="none"/>
              </w:rPr>
              <w:t>本体试样</w:t>
            </w:r>
          </w:p>
        </w:tc>
        <w:tc>
          <w:tcPr>
            <w:tcW w:w="1304" w:type="dxa"/>
          </w:tcPr>
          <w:p>
            <w:pPr>
              <w:pStyle w:val="5"/>
              <w:spacing w:before="0" w:beforeAutospacing="0" w:after="0" w:afterAutospacing="0" w:line="340" w:lineRule="exact"/>
              <w:jc w:val="center"/>
              <w:rPr>
                <w:color w:val="auto"/>
                <w:sz w:val="18"/>
                <w:szCs w:val="18"/>
                <w:highlight w:val="none"/>
              </w:rPr>
            </w:pPr>
            <w:r>
              <w:rPr>
                <w:rFonts w:hint="eastAsia"/>
                <w:color w:val="auto"/>
                <w:sz w:val="18"/>
                <w:szCs w:val="18"/>
                <w:highlight w:val="none"/>
              </w:rPr>
              <w:t>12-30mm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4" w:type="dxa"/>
          </w:tcPr>
          <w:p>
            <w:pPr>
              <w:pStyle w:val="5"/>
              <w:spacing w:before="0" w:beforeAutospacing="0" w:after="0" w:afterAutospacing="0" w:line="340" w:lineRule="exact"/>
              <w:jc w:val="center"/>
              <w:rPr>
                <w:color w:val="auto"/>
                <w:sz w:val="18"/>
                <w:szCs w:val="18"/>
                <w:highlight w:val="none"/>
              </w:rPr>
            </w:pPr>
            <w:r>
              <w:rPr>
                <w:rFonts w:hint="eastAsia"/>
                <w:color w:val="auto"/>
                <w:sz w:val="18"/>
                <w:szCs w:val="18"/>
                <w:highlight w:val="none"/>
              </w:rPr>
              <w:t>QT800-5</w:t>
            </w:r>
          </w:p>
        </w:tc>
        <w:tc>
          <w:tcPr>
            <w:tcW w:w="962" w:type="dxa"/>
          </w:tcPr>
          <w:p>
            <w:pPr>
              <w:pStyle w:val="5"/>
              <w:spacing w:before="0" w:beforeAutospacing="0" w:after="0" w:afterAutospacing="0" w:line="340" w:lineRule="exact"/>
              <w:jc w:val="center"/>
              <w:rPr>
                <w:color w:val="auto"/>
                <w:sz w:val="18"/>
                <w:szCs w:val="18"/>
                <w:highlight w:val="none"/>
              </w:rPr>
            </w:pPr>
            <w:r>
              <w:rPr>
                <w:rFonts w:hint="eastAsia"/>
                <w:color w:val="auto"/>
                <w:sz w:val="18"/>
                <w:szCs w:val="18"/>
                <w:highlight w:val="none"/>
              </w:rPr>
              <w:t>江苏汤臣</w:t>
            </w:r>
          </w:p>
        </w:tc>
        <w:tc>
          <w:tcPr>
            <w:tcW w:w="1020" w:type="dxa"/>
          </w:tcPr>
          <w:p>
            <w:pPr>
              <w:pStyle w:val="5"/>
              <w:spacing w:before="0" w:beforeAutospacing="0" w:after="0" w:afterAutospacing="0" w:line="340" w:lineRule="exact"/>
              <w:jc w:val="center"/>
              <w:rPr>
                <w:color w:val="auto"/>
                <w:sz w:val="18"/>
                <w:szCs w:val="18"/>
                <w:highlight w:val="none"/>
              </w:rPr>
            </w:pPr>
            <w:r>
              <w:rPr>
                <w:rFonts w:hint="eastAsia"/>
                <w:color w:val="auto"/>
                <w:sz w:val="18"/>
                <w:szCs w:val="18"/>
                <w:highlight w:val="none"/>
              </w:rPr>
              <w:t>117</w:t>
            </w:r>
          </w:p>
        </w:tc>
        <w:tc>
          <w:tcPr>
            <w:tcW w:w="1095" w:type="dxa"/>
          </w:tcPr>
          <w:p>
            <w:pPr>
              <w:pStyle w:val="5"/>
              <w:spacing w:before="0" w:beforeAutospacing="0" w:after="0" w:afterAutospacing="0" w:line="340" w:lineRule="exact"/>
              <w:jc w:val="center"/>
              <w:rPr>
                <w:color w:val="auto"/>
                <w:sz w:val="18"/>
                <w:szCs w:val="18"/>
                <w:highlight w:val="none"/>
              </w:rPr>
            </w:pPr>
            <w:r>
              <w:rPr>
                <w:rFonts w:hint="eastAsia"/>
                <w:color w:val="auto"/>
                <w:sz w:val="18"/>
                <w:szCs w:val="18"/>
                <w:highlight w:val="none"/>
              </w:rPr>
              <w:t>885.9</w:t>
            </w:r>
          </w:p>
        </w:tc>
        <w:tc>
          <w:tcPr>
            <w:tcW w:w="1102" w:type="dxa"/>
          </w:tcPr>
          <w:p>
            <w:pPr>
              <w:pStyle w:val="5"/>
              <w:spacing w:before="0" w:beforeAutospacing="0" w:after="0" w:afterAutospacing="0" w:line="340" w:lineRule="exact"/>
              <w:jc w:val="center"/>
              <w:rPr>
                <w:color w:val="auto"/>
                <w:sz w:val="18"/>
                <w:szCs w:val="18"/>
                <w:highlight w:val="none"/>
              </w:rPr>
            </w:pPr>
            <w:r>
              <w:rPr>
                <w:rFonts w:hint="eastAsia"/>
                <w:color w:val="auto"/>
                <w:sz w:val="18"/>
                <w:szCs w:val="18"/>
                <w:highlight w:val="none"/>
              </w:rPr>
              <w:t>565.3</w:t>
            </w:r>
          </w:p>
        </w:tc>
        <w:tc>
          <w:tcPr>
            <w:tcW w:w="909" w:type="dxa"/>
          </w:tcPr>
          <w:p>
            <w:pPr>
              <w:pStyle w:val="5"/>
              <w:spacing w:before="0" w:beforeAutospacing="0" w:after="0" w:afterAutospacing="0" w:line="340" w:lineRule="exact"/>
              <w:jc w:val="center"/>
              <w:rPr>
                <w:color w:val="auto"/>
                <w:sz w:val="18"/>
                <w:szCs w:val="18"/>
                <w:highlight w:val="none"/>
              </w:rPr>
            </w:pPr>
            <w:r>
              <w:rPr>
                <w:rFonts w:hint="eastAsia"/>
                <w:color w:val="auto"/>
                <w:sz w:val="18"/>
                <w:szCs w:val="18"/>
                <w:highlight w:val="none"/>
              </w:rPr>
              <w:t>6.0</w:t>
            </w:r>
          </w:p>
        </w:tc>
        <w:tc>
          <w:tcPr>
            <w:tcW w:w="847" w:type="dxa"/>
          </w:tcPr>
          <w:p>
            <w:pPr>
              <w:pStyle w:val="5"/>
              <w:spacing w:before="0" w:beforeAutospacing="0" w:after="0" w:afterAutospacing="0" w:line="340" w:lineRule="exact"/>
              <w:jc w:val="center"/>
              <w:rPr>
                <w:color w:val="auto"/>
                <w:sz w:val="18"/>
                <w:szCs w:val="18"/>
                <w:highlight w:val="none"/>
              </w:rPr>
            </w:pPr>
            <w:r>
              <w:rPr>
                <w:rFonts w:hint="eastAsia"/>
                <w:color w:val="auto"/>
                <w:sz w:val="18"/>
                <w:szCs w:val="18"/>
                <w:highlight w:val="none"/>
              </w:rPr>
              <w:t>100</w:t>
            </w:r>
          </w:p>
        </w:tc>
        <w:tc>
          <w:tcPr>
            <w:tcW w:w="1112" w:type="dxa"/>
          </w:tcPr>
          <w:p>
            <w:pPr>
              <w:pStyle w:val="5"/>
              <w:spacing w:before="0" w:beforeAutospacing="0" w:after="0" w:afterAutospacing="0" w:line="340" w:lineRule="exact"/>
              <w:jc w:val="center"/>
              <w:rPr>
                <w:color w:val="auto"/>
                <w:sz w:val="18"/>
                <w:szCs w:val="18"/>
                <w:highlight w:val="none"/>
              </w:rPr>
            </w:pPr>
            <w:r>
              <w:rPr>
                <w:rFonts w:hint="eastAsia"/>
                <w:color w:val="auto"/>
                <w:sz w:val="18"/>
                <w:szCs w:val="18"/>
                <w:highlight w:val="none"/>
              </w:rPr>
              <w:t>并排试块</w:t>
            </w:r>
          </w:p>
        </w:tc>
        <w:tc>
          <w:tcPr>
            <w:tcW w:w="1304" w:type="dxa"/>
          </w:tcPr>
          <w:p>
            <w:pPr>
              <w:pStyle w:val="5"/>
              <w:spacing w:before="0" w:beforeAutospacing="0" w:after="0" w:afterAutospacing="0" w:line="340" w:lineRule="exact"/>
              <w:jc w:val="center"/>
              <w:rPr>
                <w:color w:val="auto"/>
                <w:sz w:val="18"/>
                <w:szCs w:val="18"/>
                <w:highlight w:val="none"/>
              </w:rPr>
            </w:pPr>
            <w:r>
              <w:rPr>
                <w:rFonts w:hint="eastAsia"/>
                <w:color w:val="auto"/>
                <w:sz w:val="18"/>
                <w:szCs w:val="18"/>
                <w:highlight w:val="none"/>
              </w:rPr>
              <w:t>10-30mm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4" w:type="dxa"/>
          </w:tcPr>
          <w:p>
            <w:pPr>
              <w:pStyle w:val="5"/>
              <w:spacing w:before="0" w:beforeAutospacing="0" w:after="0" w:afterAutospacing="0" w:line="340" w:lineRule="exact"/>
              <w:jc w:val="center"/>
              <w:rPr>
                <w:color w:val="auto"/>
                <w:sz w:val="18"/>
                <w:szCs w:val="18"/>
                <w:highlight w:val="none"/>
              </w:rPr>
            </w:pPr>
            <w:r>
              <w:rPr>
                <w:rFonts w:hint="eastAsia"/>
                <w:color w:val="auto"/>
                <w:sz w:val="18"/>
                <w:szCs w:val="18"/>
                <w:highlight w:val="none"/>
              </w:rPr>
              <w:t>QT900-5</w:t>
            </w:r>
          </w:p>
        </w:tc>
        <w:tc>
          <w:tcPr>
            <w:tcW w:w="962" w:type="dxa"/>
          </w:tcPr>
          <w:p>
            <w:pPr>
              <w:pStyle w:val="5"/>
              <w:spacing w:before="0" w:beforeAutospacing="0" w:after="0" w:afterAutospacing="0" w:line="340" w:lineRule="exact"/>
              <w:jc w:val="center"/>
              <w:rPr>
                <w:color w:val="auto"/>
                <w:sz w:val="18"/>
                <w:szCs w:val="18"/>
                <w:highlight w:val="none"/>
              </w:rPr>
            </w:pPr>
            <w:r>
              <w:rPr>
                <w:rFonts w:hint="eastAsia"/>
                <w:color w:val="auto"/>
                <w:sz w:val="18"/>
                <w:szCs w:val="18"/>
                <w:highlight w:val="none"/>
              </w:rPr>
              <w:t>广西玉柴</w:t>
            </w:r>
          </w:p>
        </w:tc>
        <w:tc>
          <w:tcPr>
            <w:tcW w:w="1020" w:type="dxa"/>
          </w:tcPr>
          <w:p>
            <w:pPr>
              <w:pStyle w:val="5"/>
              <w:spacing w:before="0" w:beforeAutospacing="0" w:after="0" w:afterAutospacing="0" w:line="340" w:lineRule="exact"/>
              <w:jc w:val="center"/>
              <w:rPr>
                <w:color w:val="auto"/>
                <w:sz w:val="18"/>
                <w:szCs w:val="18"/>
                <w:highlight w:val="none"/>
              </w:rPr>
            </w:pPr>
            <w:r>
              <w:rPr>
                <w:rFonts w:hint="eastAsia"/>
                <w:color w:val="auto"/>
                <w:sz w:val="18"/>
                <w:szCs w:val="18"/>
                <w:highlight w:val="none"/>
              </w:rPr>
              <w:t>97</w:t>
            </w:r>
          </w:p>
        </w:tc>
        <w:tc>
          <w:tcPr>
            <w:tcW w:w="1095" w:type="dxa"/>
          </w:tcPr>
          <w:p>
            <w:pPr>
              <w:pStyle w:val="5"/>
              <w:spacing w:before="0" w:beforeAutospacing="0" w:after="0" w:afterAutospacing="0" w:line="340" w:lineRule="exact"/>
              <w:jc w:val="center"/>
              <w:rPr>
                <w:color w:val="auto"/>
                <w:sz w:val="18"/>
                <w:szCs w:val="18"/>
                <w:highlight w:val="none"/>
              </w:rPr>
            </w:pPr>
            <w:r>
              <w:rPr>
                <w:rFonts w:hint="eastAsia"/>
                <w:color w:val="auto"/>
                <w:sz w:val="18"/>
                <w:szCs w:val="18"/>
                <w:highlight w:val="none"/>
              </w:rPr>
              <w:t>949</w:t>
            </w:r>
          </w:p>
        </w:tc>
        <w:tc>
          <w:tcPr>
            <w:tcW w:w="1102" w:type="dxa"/>
          </w:tcPr>
          <w:p>
            <w:pPr>
              <w:pStyle w:val="5"/>
              <w:spacing w:before="0" w:beforeAutospacing="0" w:after="0" w:afterAutospacing="0" w:line="340" w:lineRule="exact"/>
              <w:jc w:val="center"/>
              <w:rPr>
                <w:color w:val="auto"/>
                <w:sz w:val="18"/>
                <w:szCs w:val="18"/>
                <w:highlight w:val="none"/>
              </w:rPr>
            </w:pPr>
            <w:r>
              <w:rPr>
                <w:rFonts w:hint="eastAsia"/>
                <w:color w:val="auto"/>
                <w:sz w:val="18"/>
                <w:szCs w:val="18"/>
                <w:highlight w:val="none"/>
              </w:rPr>
              <w:t>562</w:t>
            </w:r>
          </w:p>
        </w:tc>
        <w:tc>
          <w:tcPr>
            <w:tcW w:w="909" w:type="dxa"/>
          </w:tcPr>
          <w:p>
            <w:pPr>
              <w:pStyle w:val="5"/>
              <w:spacing w:before="0" w:beforeAutospacing="0" w:after="0" w:afterAutospacing="0" w:line="340" w:lineRule="exact"/>
              <w:jc w:val="center"/>
              <w:rPr>
                <w:color w:val="auto"/>
                <w:sz w:val="18"/>
                <w:szCs w:val="18"/>
                <w:highlight w:val="none"/>
              </w:rPr>
            </w:pPr>
            <w:r>
              <w:rPr>
                <w:rFonts w:hint="eastAsia"/>
                <w:color w:val="auto"/>
                <w:sz w:val="18"/>
                <w:szCs w:val="18"/>
                <w:highlight w:val="none"/>
              </w:rPr>
              <w:t>5.9</w:t>
            </w:r>
          </w:p>
        </w:tc>
        <w:tc>
          <w:tcPr>
            <w:tcW w:w="847" w:type="dxa"/>
          </w:tcPr>
          <w:p>
            <w:pPr>
              <w:pStyle w:val="5"/>
              <w:spacing w:before="0" w:beforeAutospacing="0" w:after="0" w:afterAutospacing="0" w:line="340" w:lineRule="exact"/>
              <w:jc w:val="center"/>
              <w:rPr>
                <w:color w:val="auto"/>
                <w:sz w:val="18"/>
                <w:szCs w:val="18"/>
                <w:highlight w:val="none"/>
              </w:rPr>
            </w:pPr>
            <w:r>
              <w:rPr>
                <w:rFonts w:hint="eastAsia"/>
                <w:color w:val="auto"/>
                <w:sz w:val="18"/>
                <w:szCs w:val="18"/>
                <w:highlight w:val="none"/>
              </w:rPr>
              <w:t>94.85</w:t>
            </w:r>
          </w:p>
        </w:tc>
        <w:tc>
          <w:tcPr>
            <w:tcW w:w="1112" w:type="dxa"/>
          </w:tcPr>
          <w:p>
            <w:pPr>
              <w:pStyle w:val="5"/>
              <w:spacing w:before="0" w:beforeAutospacing="0" w:after="0" w:afterAutospacing="0" w:line="340" w:lineRule="exact"/>
              <w:jc w:val="center"/>
              <w:rPr>
                <w:color w:val="auto"/>
                <w:sz w:val="18"/>
                <w:szCs w:val="18"/>
                <w:highlight w:val="none"/>
              </w:rPr>
            </w:pPr>
            <w:r>
              <w:rPr>
                <w:rFonts w:hint="eastAsia"/>
                <w:color w:val="auto"/>
                <w:sz w:val="18"/>
                <w:szCs w:val="18"/>
                <w:highlight w:val="none"/>
              </w:rPr>
              <w:t>本体取样</w:t>
            </w:r>
          </w:p>
        </w:tc>
        <w:tc>
          <w:tcPr>
            <w:tcW w:w="1304" w:type="dxa"/>
          </w:tcPr>
          <w:p>
            <w:pPr>
              <w:pStyle w:val="5"/>
              <w:spacing w:before="0" w:beforeAutospacing="0" w:after="0" w:afterAutospacing="0" w:line="340" w:lineRule="exact"/>
              <w:jc w:val="center"/>
              <w:rPr>
                <w:color w:val="auto"/>
                <w:sz w:val="18"/>
                <w:szCs w:val="18"/>
                <w:highlight w:val="none"/>
              </w:rPr>
            </w:pPr>
            <w:r>
              <w:rPr>
                <w:rFonts w:hint="eastAsia"/>
                <w:color w:val="auto"/>
                <w:sz w:val="18"/>
                <w:szCs w:val="18"/>
                <w:highlight w:val="none"/>
              </w:rPr>
              <w:t>20-30mm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1044" w:type="dxa"/>
          </w:tcPr>
          <w:p>
            <w:pPr>
              <w:pStyle w:val="5"/>
              <w:spacing w:before="0" w:beforeAutospacing="0" w:after="0" w:afterAutospacing="0" w:line="340" w:lineRule="exact"/>
              <w:jc w:val="center"/>
              <w:rPr>
                <w:color w:val="auto"/>
                <w:sz w:val="18"/>
                <w:szCs w:val="18"/>
                <w:highlight w:val="none"/>
              </w:rPr>
            </w:pPr>
            <w:r>
              <w:rPr>
                <w:rFonts w:hint="eastAsia"/>
                <w:color w:val="auto"/>
                <w:sz w:val="18"/>
                <w:szCs w:val="18"/>
                <w:highlight w:val="none"/>
              </w:rPr>
              <w:t>QT1000-5</w:t>
            </w:r>
          </w:p>
        </w:tc>
        <w:tc>
          <w:tcPr>
            <w:tcW w:w="962" w:type="dxa"/>
          </w:tcPr>
          <w:p>
            <w:pPr>
              <w:pStyle w:val="5"/>
              <w:spacing w:before="0" w:beforeAutospacing="0" w:after="0" w:afterAutospacing="0" w:line="340" w:lineRule="exact"/>
              <w:jc w:val="center"/>
              <w:rPr>
                <w:color w:val="auto"/>
                <w:sz w:val="18"/>
                <w:szCs w:val="18"/>
                <w:highlight w:val="none"/>
              </w:rPr>
            </w:pPr>
            <w:r>
              <w:rPr>
                <w:rFonts w:hint="eastAsia"/>
                <w:color w:val="auto"/>
                <w:sz w:val="18"/>
                <w:szCs w:val="18"/>
                <w:highlight w:val="none"/>
              </w:rPr>
              <w:t>广西玉柴</w:t>
            </w:r>
          </w:p>
        </w:tc>
        <w:tc>
          <w:tcPr>
            <w:tcW w:w="1020" w:type="dxa"/>
          </w:tcPr>
          <w:p>
            <w:pPr>
              <w:pStyle w:val="5"/>
              <w:spacing w:before="0" w:beforeAutospacing="0" w:after="0" w:afterAutospacing="0" w:line="340" w:lineRule="exact"/>
              <w:jc w:val="center"/>
              <w:rPr>
                <w:color w:val="auto"/>
                <w:sz w:val="18"/>
                <w:szCs w:val="18"/>
                <w:highlight w:val="none"/>
              </w:rPr>
            </w:pPr>
            <w:r>
              <w:rPr>
                <w:rFonts w:hint="eastAsia"/>
                <w:color w:val="auto"/>
                <w:sz w:val="18"/>
                <w:szCs w:val="18"/>
                <w:highlight w:val="none"/>
              </w:rPr>
              <w:t>154</w:t>
            </w:r>
          </w:p>
        </w:tc>
        <w:tc>
          <w:tcPr>
            <w:tcW w:w="1095" w:type="dxa"/>
          </w:tcPr>
          <w:p>
            <w:pPr>
              <w:pStyle w:val="5"/>
              <w:spacing w:before="0" w:beforeAutospacing="0" w:after="0" w:afterAutospacing="0" w:line="340" w:lineRule="exact"/>
              <w:jc w:val="center"/>
              <w:rPr>
                <w:color w:val="auto"/>
                <w:sz w:val="18"/>
                <w:szCs w:val="18"/>
                <w:highlight w:val="none"/>
              </w:rPr>
            </w:pPr>
            <w:r>
              <w:rPr>
                <w:rFonts w:hint="eastAsia"/>
                <w:color w:val="auto"/>
                <w:sz w:val="18"/>
                <w:szCs w:val="18"/>
                <w:highlight w:val="none"/>
              </w:rPr>
              <w:t>1019.38</w:t>
            </w:r>
          </w:p>
        </w:tc>
        <w:tc>
          <w:tcPr>
            <w:tcW w:w="1102" w:type="dxa"/>
          </w:tcPr>
          <w:p>
            <w:pPr>
              <w:pStyle w:val="5"/>
              <w:spacing w:before="0" w:beforeAutospacing="0" w:after="0" w:afterAutospacing="0" w:line="340" w:lineRule="exact"/>
              <w:jc w:val="center"/>
              <w:rPr>
                <w:color w:val="auto"/>
                <w:sz w:val="18"/>
                <w:szCs w:val="18"/>
                <w:highlight w:val="none"/>
              </w:rPr>
            </w:pPr>
            <w:r>
              <w:rPr>
                <w:rFonts w:hint="eastAsia"/>
                <w:color w:val="auto"/>
                <w:sz w:val="18"/>
                <w:szCs w:val="18"/>
                <w:highlight w:val="none"/>
              </w:rPr>
              <w:t>605.54</w:t>
            </w:r>
          </w:p>
        </w:tc>
        <w:tc>
          <w:tcPr>
            <w:tcW w:w="909" w:type="dxa"/>
          </w:tcPr>
          <w:p>
            <w:pPr>
              <w:pStyle w:val="5"/>
              <w:spacing w:before="0" w:beforeAutospacing="0" w:after="0" w:afterAutospacing="0" w:line="340" w:lineRule="exact"/>
              <w:jc w:val="center"/>
              <w:rPr>
                <w:color w:val="auto"/>
                <w:sz w:val="18"/>
                <w:szCs w:val="18"/>
                <w:highlight w:val="none"/>
              </w:rPr>
            </w:pPr>
            <w:r>
              <w:rPr>
                <w:rFonts w:hint="eastAsia"/>
                <w:color w:val="auto"/>
                <w:sz w:val="18"/>
                <w:szCs w:val="18"/>
                <w:highlight w:val="none"/>
              </w:rPr>
              <w:t>5.5</w:t>
            </w:r>
          </w:p>
        </w:tc>
        <w:tc>
          <w:tcPr>
            <w:tcW w:w="847" w:type="dxa"/>
          </w:tcPr>
          <w:p>
            <w:pPr>
              <w:pStyle w:val="5"/>
              <w:spacing w:before="0" w:beforeAutospacing="0" w:after="0" w:afterAutospacing="0" w:line="340" w:lineRule="exact"/>
              <w:jc w:val="center"/>
              <w:rPr>
                <w:color w:val="auto"/>
                <w:sz w:val="18"/>
                <w:szCs w:val="18"/>
                <w:highlight w:val="none"/>
              </w:rPr>
            </w:pPr>
            <w:r>
              <w:rPr>
                <w:rFonts w:hint="eastAsia"/>
                <w:color w:val="auto"/>
                <w:sz w:val="18"/>
                <w:szCs w:val="18"/>
                <w:highlight w:val="none"/>
              </w:rPr>
              <w:t>94.8</w:t>
            </w:r>
          </w:p>
        </w:tc>
        <w:tc>
          <w:tcPr>
            <w:tcW w:w="1112" w:type="dxa"/>
          </w:tcPr>
          <w:p>
            <w:pPr>
              <w:pStyle w:val="5"/>
              <w:spacing w:before="0" w:beforeAutospacing="0" w:after="0" w:afterAutospacing="0" w:line="340" w:lineRule="exact"/>
              <w:jc w:val="center"/>
              <w:rPr>
                <w:color w:val="auto"/>
                <w:sz w:val="18"/>
                <w:szCs w:val="18"/>
                <w:highlight w:val="none"/>
              </w:rPr>
            </w:pPr>
            <w:r>
              <w:rPr>
                <w:rFonts w:hint="eastAsia"/>
                <w:color w:val="auto"/>
                <w:sz w:val="18"/>
                <w:szCs w:val="18"/>
                <w:highlight w:val="none"/>
              </w:rPr>
              <w:t>本体取样</w:t>
            </w:r>
          </w:p>
        </w:tc>
        <w:tc>
          <w:tcPr>
            <w:tcW w:w="1304" w:type="dxa"/>
          </w:tcPr>
          <w:p>
            <w:pPr>
              <w:pStyle w:val="5"/>
              <w:spacing w:before="0" w:beforeAutospacing="0" w:after="0" w:afterAutospacing="0" w:line="340" w:lineRule="exact"/>
              <w:jc w:val="center"/>
              <w:rPr>
                <w:color w:val="auto"/>
                <w:sz w:val="18"/>
                <w:szCs w:val="18"/>
                <w:highlight w:val="none"/>
              </w:rPr>
            </w:pPr>
            <w:r>
              <w:rPr>
                <w:rFonts w:hint="eastAsia"/>
                <w:color w:val="auto"/>
                <w:sz w:val="18"/>
                <w:szCs w:val="18"/>
                <w:highlight w:val="none"/>
              </w:rPr>
              <w:t>60&lt;t≤100mm</w:t>
            </w:r>
          </w:p>
        </w:tc>
      </w:tr>
    </w:tbl>
    <w:p>
      <w:pPr>
        <w:pStyle w:val="5"/>
        <w:spacing w:before="0" w:beforeAutospacing="0" w:after="0" w:afterAutospacing="0" w:line="340" w:lineRule="exact"/>
        <w:ind w:firstLine="480" w:firstLineChars="200"/>
        <w:rPr>
          <w:color w:val="auto"/>
          <w:highlight w:val="none"/>
        </w:rPr>
      </w:pPr>
    </w:p>
    <w:p>
      <w:pPr>
        <w:spacing w:before="156" w:beforeLines="50" w:after="156" w:afterLines="50" w:line="440" w:lineRule="exact"/>
        <w:ind w:firstLine="480" w:firstLineChars="200"/>
        <w:outlineLvl w:val="0"/>
        <w:rPr>
          <w:rFonts w:hAnsi="宋体" w:eastAsia="宋体"/>
          <w:color w:val="auto"/>
          <w:sz w:val="24"/>
          <w:highlight w:val="none"/>
        </w:rPr>
      </w:pPr>
      <w:r>
        <w:rPr>
          <w:rFonts w:hint="eastAsia" w:hAnsi="宋体" w:eastAsia="宋体"/>
          <w:color w:val="auto"/>
          <w:sz w:val="24"/>
          <w:highlight w:val="none"/>
        </w:rPr>
        <w:t>根据国内的原辅材料，熔炼、铸造与热处理设备和工艺以及掌握的技术，完全可以生产出牌号为QT 700-8、QT 700-10、QT 800-5、QT 900-5、QTD 1000-5的高强度高塑性球墨铸铁件。本标准设置的牌号及所规定的技术指标是合理的。</w:t>
      </w:r>
    </w:p>
    <w:p>
      <w:pPr>
        <w:spacing w:before="156" w:beforeLines="50" w:after="156" w:afterLines="50" w:line="440" w:lineRule="exact"/>
        <w:ind w:firstLine="480" w:firstLineChars="200"/>
        <w:outlineLvl w:val="0"/>
        <w:rPr>
          <w:rFonts w:hAnsi="宋体" w:eastAsia="宋体"/>
          <w:color w:val="auto"/>
          <w:sz w:val="24"/>
          <w:highlight w:val="none"/>
        </w:rPr>
      </w:pPr>
      <w:r>
        <w:rPr>
          <w:rFonts w:hint="eastAsia" w:hAnsi="宋体" w:eastAsia="宋体"/>
          <w:color w:val="auto"/>
          <w:sz w:val="24"/>
          <w:highlight w:val="none"/>
        </w:rPr>
        <w:t>按照本标准生产，必须注意选用合格的原辅材料，严格控制铸造和热处理工艺，以保证工艺和产品质量的稳定性和可靠性。其中QT700-10牌号有两列数据的达标率分别为50%和27%，除了与本体取样有关，也说明达到本标准并非轻而易举之事，必须经过努力才能稳定达到。这也表明本标准所订的技术指标是先进的。</w:t>
      </w:r>
    </w:p>
    <w:p>
      <w:pPr>
        <w:spacing w:before="156" w:beforeLines="50" w:after="156" w:afterLines="50" w:line="440" w:lineRule="exact"/>
        <w:ind w:firstLine="480" w:firstLineChars="200"/>
        <w:outlineLvl w:val="0"/>
        <w:rPr>
          <w:rFonts w:hAnsi="宋体" w:eastAsia="宋体"/>
          <w:color w:val="auto"/>
          <w:sz w:val="24"/>
          <w:highlight w:val="none"/>
        </w:rPr>
      </w:pPr>
      <w:r>
        <w:rPr>
          <w:rFonts w:hint="eastAsia" w:hAnsi="宋体" w:eastAsia="宋体"/>
          <w:color w:val="auto"/>
          <w:sz w:val="24"/>
          <w:highlight w:val="none"/>
        </w:rPr>
        <w:t>QT700-10牌号是在保证伸长率10%高塑性的前提下提高强度来满足汽车底盘零部件的需求开发出来的，标准技术指标的确定为企业未来的技术发展留有一定空间，使标准具有一定的前瞻性。</w:t>
      </w:r>
    </w:p>
    <w:p>
      <w:pPr>
        <w:spacing w:before="156" w:beforeLines="50" w:after="156" w:afterLines="50" w:line="440" w:lineRule="exact"/>
        <w:ind w:firstLine="480" w:firstLineChars="200"/>
        <w:outlineLvl w:val="0"/>
        <w:rPr>
          <w:color w:val="auto"/>
          <w:highlight w:val="none"/>
        </w:rPr>
      </w:pPr>
      <w:r>
        <w:rPr>
          <w:rFonts w:hint="eastAsia" w:hAnsi="宋体" w:eastAsia="宋体"/>
          <w:color w:val="auto"/>
          <w:sz w:val="24"/>
          <w:highlight w:val="none"/>
        </w:rPr>
        <w:t>通过大量的试验数据证明，本标准规定的各牌号的拉伸性能指标是合理的、先进的。</w:t>
      </w:r>
    </w:p>
    <w:p>
      <w:pPr>
        <w:spacing w:before="156" w:beforeLines="50" w:after="156" w:afterLines="50" w:line="440" w:lineRule="exact"/>
        <w:ind w:firstLine="480" w:firstLineChars="200"/>
        <w:rPr>
          <w:rFonts w:ascii="黑体" w:hAnsi="宋体" w:eastAsia="黑体"/>
          <w:color w:val="auto"/>
          <w:sz w:val="24"/>
          <w:szCs w:val="24"/>
          <w:highlight w:val="none"/>
        </w:rPr>
      </w:pPr>
      <w:r>
        <w:rPr>
          <w:rFonts w:hint="eastAsia" w:ascii="黑体" w:hAnsi="宋体" w:eastAsia="黑体"/>
          <w:color w:val="auto"/>
          <w:sz w:val="24"/>
          <w:szCs w:val="24"/>
          <w:highlight w:val="none"/>
        </w:rPr>
        <w:t>3）技术经济论证</w:t>
      </w:r>
    </w:p>
    <w:p>
      <w:pPr>
        <w:spacing w:before="156" w:beforeLines="50" w:after="156" w:afterLines="50" w:line="440" w:lineRule="exact"/>
        <w:ind w:firstLine="480" w:firstLineChars="200"/>
        <w:rPr>
          <w:rFonts w:ascii="黑体" w:hAnsi="宋体" w:eastAsia="黑体"/>
          <w:color w:val="auto"/>
          <w:sz w:val="24"/>
          <w:szCs w:val="24"/>
          <w:highlight w:val="none"/>
        </w:rPr>
      </w:pPr>
      <w:r>
        <w:rPr>
          <w:rFonts w:hint="eastAsia" w:ascii="黑体" w:hAnsi="宋体" w:eastAsia="黑体"/>
          <w:color w:val="auto"/>
          <w:sz w:val="24"/>
          <w:szCs w:val="24"/>
          <w:highlight w:val="none"/>
        </w:rPr>
        <w:t>（在成本分析、计算、比较的基础上，进行定量或定性评价，证明技术上可行、经济上合理）</w:t>
      </w:r>
    </w:p>
    <w:p>
      <w:pPr>
        <w:spacing w:before="156" w:beforeLines="50" w:after="156" w:afterLines="50" w:line="440" w:lineRule="exact"/>
        <w:ind w:firstLine="480" w:firstLineChars="200"/>
        <w:outlineLvl w:val="0"/>
        <w:rPr>
          <w:rFonts w:hAnsi="宋体" w:eastAsia="宋体"/>
          <w:color w:val="auto"/>
          <w:sz w:val="24"/>
          <w:highlight w:val="none"/>
        </w:rPr>
      </w:pPr>
      <w:r>
        <w:rPr>
          <w:rFonts w:hint="eastAsia" w:hAnsi="宋体" w:eastAsia="宋体"/>
          <w:color w:val="auto"/>
          <w:sz w:val="24"/>
          <w:highlight w:val="none"/>
        </w:rPr>
        <w:t>以本项目的QT900-5、QT800-5、QT700-10材料为例，材料成本和国标牌号中的各种球墨铸铁材料成本相当，QT</w:t>
      </w:r>
      <w:r>
        <w:rPr>
          <w:rFonts w:hAnsi="宋体" w:eastAsia="宋体"/>
          <w:color w:val="auto"/>
          <w:sz w:val="24"/>
          <w:highlight w:val="none"/>
        </w:rPr>
        <w:t>9</w:t>
      </w:r>
      <w:r>
        <w:rPr>
          <w:rFonts w:hint="eastAsia" w:hAnsi="宋体" w:eastAsia="宋体"/>
          <w:color w:val="auto"/>
          <w:sz w:val="24"/>
          <w:highlight w:val="none"/>
        </w:rPr>
        <w:t>00-5相比42CrMo低合金锻钢，成本比其低30%左右，并且强度相当，仅仅是屈服强度和延伸率没有42CrMo好，但是材料密度仅为42CrMo的90%左右，可以更加轻量化，在高爆压柴油机曲轴、机器人减速器等领域应用的应用正在逐步加大。</w:t>
      </w:r>
    </w:p>
    <w:p>
      <w:pPr>
        <w:spacing w:before="156" w:beforeLines="50" w:after="156" w:afterLines="50" w:line="440" w:lineRule="exact"/>
        <w:ind w:firstLine="480" w:firstLineChars="200"/>
        <w:outlineLvl w:val="0"/>
        <w:rPr>
          <w:rFonts w:hAnsi="宋体" w:eastAsia="宋体"/>
          <w:color w:val="auto"/>
          <w:sz w:val="24"/>
          <w:highlight w:val="none"/>
        </w:rPr>
      </w:pPr>
      <w:r>
        <w:rPr>
          <w:rFonts w:hint="eastAsia" w:hAnsi="宋体" w:eastAsia="宋体"/>
          <w:color w:val="auto"/>
          <w:sz w:val="24"/>
          <w:highlight w:val="none"/>
        </w:rPr>
        <w:t>对比ADI材料，QT1000-5节约了0.2-0.3%的钼、1%左右的镍，并且不用等温淬火，仅需要正火处理，对热处理设备要求较低，工艺控制难度低，对企业硬件要求不高，因此成本能够满足工业基本需求。</w:t>
      </w:r>
    </w:p>
    <w:p>
      <w:pPr>
        <w:spacing w:before="156" w:beforeLines="50" w:after="156" w:afterLines="50" w:line="440" w:lineRule="exact"/>
        <w:ind w:firstLine="480" w:firstLineChars="200"/>
        <w:outlineLvl w:val="0"/>
        <w:rPr>
          <w:color w:val="auto"/>
          <w:highlight w:val="none"/>
        </w:rPr>
      </w:pPr>
      <w:r>
        <w:rPr>
          <w:rFonts w:hint="eastAsia" w:hAnsi="宋体" w:eastAsia="宋体"/>
          <w:color w:val="auto"/>
          <w:sz w:val="24"/>
          <w:highlight w:val="none"/>
        </w:rPr>
        <w:t>项目通过实践检验，对传统铸钢件、锻钢件的替代，故障率有效降低，制造成本和售价都低于同类性能牌号材料，在国内具有较高的市场竞争力。</w:t>
      </w:r>
    </w:p>
    <w:p>
      <w:pPr>
        <w:spacing w:before="156" w:beforeLines="50" w:after="156" w:afterLines="50" w:line="440" w:lineRule="exact"/>
        <w:ind w:firstLine="480" w:firstLineChars="200"/>
        <w:rPr>
          <w:rFonts w:ascii="黑体" w:hAnsi="宋体" w:eastAsia="黑体"/>
          <w:color w:val="auto"/>
          <w:sz w:val="24"/>
          <w:szCs w:val="24"/>
          <w:highlight w:val="none"/>
        </w:rPr>
      </w:pPr>
      <w:r>
        <w:rPr>
          <w:rFonts w:hint="eastAsia" w:ascii="黑体" w:hAnsi="宋体" w:eastAsia="黑体"/>
          <w:color w:val="auto"/>
          <w:sz w:val="24"/>
          <w:szCs w:val="24"/>
          <w:highlight w:val="none"/>
        </w:rPr>
        <w:t>4）预期的社会/经济效益分析</w:t>
      </w:r>
    </w:p>
    <w:p>
      <w:pPr>
        <w:spacing w:before="156" w:beforeLines="50" w:after="156" w:afterLines="50" w:line="440" w:lineRule="exact"/>
        <w:ind w:firstLine="480" w:firstLineChars="200"/>
        <w:outlineLvl w:val="0"/>
        <w:rPr>
          <w:color w:val="auto"/>
          <w:highlight w:val="none"/>
        </w:rPr>
      </w:pPr>
      <w:r>
        <w:rPr>
          <w:rFonts w:hint="eastAsia" w:hAnsi="宋体" w:eastAsia="宋体"/>
          <w:color w:val="auto"/>
          <w:sz w:val="24"/>
          <w:highlight w:val="none"/>
        </w:rPr>
        <w:t>在商用车领域，应用QT700-10、QT900-5球墨铸铁材料，对公路牵引车、载货车、渣土车、矿山自卸车等车型的应用情况如下表：</w:t>
      </w:r>
    </w:p>
    <w:tbl>
      <w:tblPr>
        <w:tblStyle w:val="6"/>
        <w:tblW w:w="8936" w:type="dxa"/>
        <w:jc w:val="center"/>
        <w:tblLayout w:type="fixed"/>
        <w:tblCellMar>
          <w:top w:w="0" w:type="dxa"/>
          <w:left w:w="108" w:type="dxa"/>
          <w:bottom w:w="0" w:type="dxa"/>
          <w:right w:w="108" w:type="dxa"/>
        </w:tblCellMar>
      </w:tblPr>
      <w:tblGrid>
        <w:gridCol w:w="1696"/>
        <w:gridCol w:w="856"/>
        <w:gridCol w:w="1047"/>
        <w:gridCol w:w="1306"/>
        <w:gridCol w:w="1101"/>
        <w:gridCol w:w="1437"/>
        <w:gridCol w:w="1493"/>
      </w:tblGrid>
      <w:tr>
        <w:tblPrEx>
          <w:tblCellMar>
            <w:top w:w="0" w:type="dxa"/>
            <w:left w:w="108" w:type="dxa"/>
            <w:bottom w:w="0" w:type="dxa"/>
            <w:right w:w="108" w:type="dxa"/>
          </w:tblCellMar>
        </w:tblPrEx>
        <w:trPr>
          <w:trHeight w:val="529" w:hRule="atLeast"/>
          <w:jc w:val="center"/>
        </w:trPr>
        <w:tc>
          <w:tcPr>
            <w:tcW w:w="1696" w:type="dxa"/>
            <w:tcBorders>
              <w:top w:val="single" w:color="auto" w:sz="4" w:space="0"/>
              <w:left w:val="single" w:color="auto" w:sz="4" w:space="0"/>
              <w:bottom w:val="single" w:color="auto" w:sz="4" w:space="0"/>
              <w:right w:val="single" w:color="auto" w:sz="4" w:space="0"/>
            </w:tcBorders>
            <w:noWrap/>
            <w:vAlign w:val="center"/>
          </w:tcPr>
          <w:p>
            <w:pPr>
              <w:pStyle w:val="5"/>
              <w:spacing w:before="0" w:beforeAutospacing="0" w:after="0" w:afterAutospacing="0"/>
              <w:ind w:firstLine="360" w:firstLineChars="200"/>
              <w:rPr>
                <w:color w:val="auto"/>
                <w:sz w:val="18"/>
                <w:szCs w:val="18"/>
                <w:highlight w:val="none"/>
              </w:rPr>
            </w:pPr>
            <w:r>
              <w:rPr>
                <w:rFonts w:hint="eastAsia"/>
                <w:color w:val="auto"/>
                <w:sz w:val="18"/>
                <w:szCs w:val="18"/>
                <w:highlight w:val="none"/>
              </w:rPr>
              <w:t>　</w:t>
            </w:r>
          </w:p>
        </w:tc>
        <w:tc>
          <w:tcPr>
            <w:tcW w:w="856" w:type="dxa"/>
            <w:tcBorders>
              <w:top w:val="single" w:color="auto" w:sz="4" w:space="0"/>
              <w:left w:val="nil"/>
              <w:bottom w:val="single" w:color="auto" w:sz="4" w:space="0"/>
              <w:right w:val="single" w:color="auto" w:sz="4" w:space="0"/>
            </w:tcBorders>
            <w:vAlign w:val="center"/>
          </w:tcPr>
          <w:p>
            <w:pPr>
              <w:pStyle w:val="5"/>
              <w:spacing w:before="0" w:beforeAutospacing="0" w:after="0" w:afterAutospacing="0"/>
              <w:rPr>
                <w:color w:val="auto"/>
                <w:sz w:val="18"/>
                <w:szCs w:val="18"/>
                <w:highlight w:val="none"/>
              </w:rPr>
            </w:pPr>
            <w:r>
              <w:rPr>
                <w:rFonts w:hint="eastAsia"/>
                <w:color w:val="auto"/>
                <w:sz w:val="18"/>
                <w:szCs w:val="18"/>
                <w:highlight w:val="none"/>
              </w:rPr>
              <w:t>套</w:t>
            </w:r>
          </w:p>
        </w:tc>
        <w:tc>
          <w:tcPr>
            <w:tcW w:w="1047" w:type="dxa"/>
            <w:tcBorders>
              <w:top w:val="single" w:color="auto" w:sz="4" w:space="0"/>
              <w:left w:val="nil"/>
              <w:bottom w:val="single" w:color="auto" w:sz="4" w:space="0"/>
              <w:right w:val="single" w:color="auto" w:sz="4" w:space="0"/>
            </w:tcBorders>
            <w:vAlign w:val="center"/>
          </w:tcPr>
          <w:p>
            <w:pPr>
              <w:pStyle w:val="5"/>
              <w:spacing w:before="0" w:beforeAutospacing="0" w:after="0" w:afterAutospacing="0"/>
              <w:ind w:firstLine="360" w:firstLineChars="200"/>
              <w:rPr>
                <w:color w:val="auto"/>
                <w:sz w:val="18"/>
                <w:szCs w:val="18"/>
                <w:highlight w:val="none"/>
              </w:rPr>
            </w:pPr>
            <w:r>
              <w:rPr>
                <w:rFonts w:hint="eastAsia"/>
                <w:color w:val="auto"/>
                <w:sz w:val="18"/>
                <w:szCs w:val="18"/>
                <w:highlight w:val="none"/>
              </w:rPr>
              <w:t>产量（吨）</w:t>
            </w:r>
          </w:p>
        </w:tc>
        <w:tc>
          <w:tcPr>
            <w:tcW w:w="1306" w:type="dxa"/>
            <w:tcBorders>
              <w:top w:val="single" w:color="auto" w:sz="4" w:space="0"/>
              <w:left w:val="nil"/>
              <w:bottom w:val="single" w:color="auto" w:sz="4" w:space="0"/>
              <w:right w:val="single" w:color="auto" w:sz="4" w:space="0"/>
            </w:tcBorders>
            <w:vAlign w:val="center"/>
          </w:tcPr>
          <w:p>
            <w:pPr>
              <w:pStyle w:val="5"/>
              <w:spacing w:before="0" w:beforeAutospacing="0" w:after="0" w:afterAutospacing="0"/>
              <w:ind w:firstLine="360" w:firstLineChars="200"/>
              <w:rPr>
                <w:color w:val="auto"/>
                <w:sz w:val="18"/>
                <w:szCs w:val="18"/>
                <w:highlight w:val="none"/>
              </w:rPr>
            </w:pPr>
            <w:r>
              <w:rPr>
                <w:rFonts w:hint="eastAsia"/>
                <w:color w:val="auto"/>
                <w:sz w:val="18"/>
                <w:szCs w:val="18"/>
                <w:highlight w:val="none"/>
              </w:rPr>
              <w:t>汽车数量（台）</w:t>
            </w:r>
          </w:p>
        </w:tc>
        <w:tc>
          <w:tcPr>
            <w:tcW w:w="1101" w:type="dxa"/>
            <w:tcBorders>
              <w:top w:val="single" w:color="auto" w:sz="4" w:space="0"/>
              <w:left w:val="nil"/>
              <w:bottom w:val="single" w:color="auto" w:sz="4" w:space="0"/>
              <w:right w:val="single" w:color="auto" w:sz="4" w:space="0"/>
            </w:tcBorders>
            <w:vAlign w:val="center"/>
          </w:tcPr>
          <w:p>
            <w:pPr>
              <w:pStyle w:val="5"/>
              <w:spacing w:before="0" w:beforeAutospacing="0" w:after="0" w:afterAutospacing="0"/>
              <w:ind w:firstLine="360" w:firstLineChars="200"/>
              <w:rPr>
                <w:color w:val="auto"/>
                <w:sz w:val="18"/>
                <w:szCs w:val="18"/>
                <w:highlight w:val="none"/>
              </w:rPr>
            </w:pPr>
            <w:r>
              <w:rPr>
                <w:rFonts w:hint="eastAsia"/>
                <w:color w:val="auto"/>
                <w:sz w:val="18"/>
                <w:szCs w:val="18"/>
                <w:highlight w:val="none"/>
              </w:rPr>
              <w:t>产值   （万元）</w:t>
            </w:r>
          </w:p>
        </w:tc>
        <w:tc>
          <w:tcPr>
            <w:tcW w:w="1437" w:type="dxa"/>
            <w:tcBorders>
              <w:top w:val="single" w:color="auto" w:sz="4" w:space="0"/>
              <w:left w:val="nil"/>
              <w:bottom w:val="single" w:color="auto" w:sz="4" w:space="0"/>
              <w:right w:val="single" w:color="auto" w:sz="4" w:space="0"/>
            </w:tcBorders>
            <w:vAlign w:val="center"/>
          </w:tcPr>
          <w:p>
            <w:pPr>
              <w:pStyle w:val="5"/>
              <w:spacing w:before="0" w:beforeAutospacing="0" w:after="0" w:afterAutospacing="0"/>
              <w:ind w:firstLine="360" w:firstLineChars="200"/>
              <w:rPr>
                <w:color w:val="auto"/>
                <w:sz w:val="18"/>
                <w:szCs w:val="18"/>
                <w:highlight w:val="none"/>
              </w:rPr>
            </w:pPr>
            <w:r>
              <w:rPr>
                <w:rFonts w:hint="eastAsia"/>
                <w:color w:val="auto"/>
                <w:sz w:val="18"/>
                <w:szCs w:val="18"/>
                <w:highlight w:val="none"/>
              </w:rPr>
              <w:t>节约材料（吨）</w:t>
            </w:r>
          </w:p>
        </w:tc>
        <w:tc>
          <w:tcPr>
            <w:tcW w:w="1493" w:type="dxa"/>
            <w:tcBorders>
              <w:top w:val="single" w:color="auto" w:sz="4" w:space="0"/>
              <w:left w:val="nil"/>
              <w:bottom w:val="single" w:color="auto" w:sz="4" w:space="0"/>
              <w:right w:val="single" w:color="auto" w:sz="4" w:space="0"/>
            </w:tcBorders>
            <w:vAlign w:val="center"/>
          </w:tcPr>
          <w:p>
            <w:pPr>
              <w:pStyle w:val="5"/>
              <w:spacing w:before="0" w:beforeAutospacing="0" w:after="0" w:afterAutospacing="0"/>
              <w:ind w:firstLine="360" w:firstLineChars="200"/>
              <w:rPr>
                <w:color w:val="auto"/>
                <w:sz w:val="18"/>
                <w:szCs w:val="18"/>
                <w:highlight w:val="none"/>
              </w:rPr>
            </w:pPr>
            <w:r>
              <w:rPr>
                <w:rFonts w:hint="eastAsia"/>
                <w:color w:val="auto"/>
                <w:sz w:val="18"/>
                <w:szCs w:val="18"/>
                <w:highlight w:val="none"/>
              </w:rPr>
              <w:t>材料节约金额（万元）</w:t>
            </w:r>
          </w:p>
        </w:tc>
      </w:tr>
      <w:tr>
        <w:tblPrEx>
          <w:tblCellMar>
            <w:top w:w="0" w:type="dxa"/>
            <w:left w:w="108" w:type="dxa"/>
            <w:bottom w:w="0" w:type="dxa"/>
            <w:right w:w="108" w:type="dxa"/>
          </w:tblCellMar>
        </w:tblPrEx>
        <w:trPr>
          <w:trHeight w:val="238" w:hRule="atLeast"/>
          <w:jc w:val="center"/>
        </w:trPr>
        <w:tc>
          <w:tcPr>
            <w:tcW w:w="1696" w:type="dxa"/>
            <w:tcBorders>
              <w:top w:val="nil"/>
              <w:left w:val="single" w:color="auto" w:sz="4" w:space="0"/>
              <w:bottom w:val="single" w:color="auto" w:sz="4" w:space="0"/>
              <w:right w:val="single" w:color="auto" w:sz="4" w:space="0"/>
            </w:tcBorders>
            <w:noWrap/>
            <w:vAlign w:val="center"/>
          </w:tcPr>
          <w:p>
            <w:pPr>
              <w:pStyle w:val="5"/>
              <w:spacing w:before="0" w:beforeAutospacing="0" w:after="0" w:afterAutospacing="0"/>
              <w:ind w:firstLine="360" w:firstLineChars="200"/>
              <w:rPr>
                <w:color w:val="auto"/>
                <w:sz w:val="18"/>
                <w:szCs w:val="18"/>
                <w:highlight w:val="none"/>
              </w:rPr>
            </w:pPr>
            <w:r>
              <w:rPr>
                <w:rFonts w:hint="eastAsia"/>
                <w:color w:val="auto"/>
                <w:sz w:val="18"/>
                <w:szCs w:val="18"/>
                <w:highlight w:val="none"/>
              </w:rPr>
              <w:t>H7牵引车</w:t>
            </w:r>
          </w:p>
        </w:tc>
        <w:tc>
          <w:tcPr>
            <w:tcW w:w="856" w:type="dxa"/>
            <w:tcBorders>
              <w:top w:val="nil"/>
              <w:left w:val="nil"/>
              <w:bottom w:val="single" w:color="auto" w:sz="4" w:space="0"/>
              <w:right w:val="single" w:color="auto" w:sz="4" w:space="0"/>
            </w:tcBorders>
            <w:noWrap/>
            <w:vAlign w:val="center"/>
          </w:tcPr>
          <w:p>
            <w:pPr>
              <w:pStyle w:val="5"/>
              <w:spacing w:before="0" w:beforeAutospacing="0" w:after="0" w:afterAutospacing="0"/>
              <w:rPr>
                <w:color w:val="auto"/>
                <w:sz w:val="18"/>
                <w:szCs w:val="18"/>
                <w:highlight w:val="none"/>
              </w:rPr>
            </w:pPr>
            <w:r>
              <w:rPr>
                <w:rFonts w:hint="eastAsia"/>
                <w:color w:val="auto"/>
                <w:sz w:val="18"/>
                <w:szCs w:val="18"/>
                <w:highlight w:val="none"/>
              </w:rPr>
              <w:t>182061</w:t>
            </w:r>
          </w:p>
        </w:tc>
        <w:tc>
          <w:tcPr>
            <w:tcW w:w="1047" w:type="dxa"/>
            <w:tcBorders>
              <w:top w:val="nil"/>
              <w:left w:val="nil"/>
              <w:bottom w:val="single" w:color="auto" w:sz="4" w:space="0"/>
              <w:right w:val="single" w:color="auto" w:sz="4" w:space="0"/>
            </w:tcBorders>
            <w:noWrap/>
            <w:vAlign w:val="center"/>
          </w:tcPr>
          <w:p>
            <w:pPr>
              <w:pStyle w:val="5"/>
              <w:spacing w:before="0" w:beforeAutospacing="0" w:after="0" w:afterAutospacing="0"/>
              <w:ind w:firstLine="360" w:firstLineChars="200"/>
              <w:rPr>
                <w:color w:val="auto"/>
                <w:sz w:val="18"/>
                <w:szCs w:val="18"/>
                <w:highlight w:val="none"/>
              </w:rPr>
            </w:pPr>
            <w:r>
              <w:rPr>
                <w:rFonts w:hint="eastAsia"/>
                <w:color w:val="auto"/>
                <w:sz w:val="18"/>
                <w:szCs w:val="18"/>
                <w:highlight w:val="none"/>
              </w:rPr>
              <w:t>9621</w:t>
            </w:r>
          </w:p>
        </w:tc>
        <w:tc>
          <w:tcPr>
            <w:tcW w:w="1306" w:type="dxa"/>
            <w:tcBorders>
              <w:top w:val="nil"/>
              <w:left w:val="nil"/>
              <w:bottom w:val="single" w:color="auto" w:sz="4" w:space="0"/>
              <w:right w:val="single" w:color="auto" w:sz="4" w:space="0"/>
            </w:tcBorders>
            <w:noWrap/>
            <w:vAlign w:val="center"/>
          </w:tcPr>
          <w:p>
            <w:pPr>
              <w:pStyle w:val="5"/>
              <w:spacing w:before="0" w:beforeAutospacing="0" w:after="0" w:afterAutospacing="0"/>
              <w:ind w:firstLine="360" w:firstLineChars="200"/>
              <w:rPr>
                <w:color w:val="auto"/>
                <w:sz w:val="18"/>
                <w:szCs w:val="18"/>
                <w:highlight w:val="none"/>
              </w:rPr>
            </w:pPr>
            <w:r>
              <w:rPr>
                <w:rFonts w:hint="eastAsia"/>
                <w:color w:val="auto"/>
                <w:sz w:val="18"/>
                <w:szCs w:val="18"/>
                <w:highlight w:val="none"/>
              </w:rPr>
              <w:t>91031</w:t>
            </w:r>
          </w:p>
        </w:tc>
        <w:tc>
          <w:tcPr>
            <w:tcW w:w="1101" w:type="dxa"/>
            <w:tcBorders>
              <w:top w:val="nil"/>
              <w:left w:val="nil"/>
              <w:bottom w:val="single" w:color="auto" w:sz="4" w:space="0"/>
              <w:right w:val="single" w:color="auto" w:sz="4" w:space="0"/>
            </w:tcBorders>
            <w:noWrap/>
            <w:vAlign w:val="center"/>
          </w:tcPr>
          <w:p>
            <w:pPr>
              <w:pStyle w:val="5"/>
              <w:spacing w:before="0" w:beforeAutospacing="0" w:after="0" w:afterAutospacing="0"/>
              <w:ind w:firstLine="360" w:firstLineChars="200"/>
              <w:rPr>
                <w:color w:val="auto"/>
                <w:sz w:val="18"/>
                <w:szCs w:val="18"/>
                <w:highlight w:val="none"/>
              </w:rPr>
            </w:pPr>
            <w:r>
              <w:rPr>
                <w:rFonts w:hint="eastAsia"/>
                <w:color w:val="auto"/>
                <w:sz w:val="18"/>
                <w:szCs w:val="18"/>
                <w:highlight w:val="none"/>
              </w:rPr>
              <w:t>9647</w:t>
            </w:r>
          </w:p>
        </w:tc>
        <w:tc>
          <w:tcPr>
            <w:tcW w:w="1437" w:type="dxa"/>
            <w:tcBorders>
              <w:top w:val="nil"/>
              <w:left w:val="nil"/>
              <w:bottom w:val="single" w:color="auto" w:sz="4" w:space="0"/>
              <w:right w:val="single" w:color="auto" w:sz="4" w:space="0"/>
            </w:tcBorders>
            <w:noWrap/>
            <w:vAlign w:val="center"/>
          </w:tcPr>
          <w:p>
            <w:pPr>
              <w:pStyle w:val="5"/>
              <w:spacing w:before="0" w:beforeAutospacing="0" w:after="0" w:afterAutospacing="0"/>
              <w:ind w:firstLine="360" w:firstLineChars="200"/>
              <w:rPr>
                <w:color w:val="auto"/>
                <w:sz w:val="18"/>
                <w:szCs w:val="18"/>
                <w:highlight w:val="none"/>
              </w:rPr>
            </w:pPr>
            <w:r>
              <w:rPr>
                <w:rFonts w:hint="eastAsia"/>
                <w:color w:val="auto"/>
                <w:sz w:val="18"/>
                <w:szCs w:val="18"/>
                <w:highlight w:val="none"/>
              </w:rPr>
              <w:t>10849</w:t>
            </w:r>
          </w:p>
        </w:tc>
        <w:tc>
          <w:tcPr>
            <w:tcW w:w="1493" w:type="dxa"/>
            <w:tcBorders>
              <w:top w:val="nil"/>
              <w:left w:val="nil"/>
              <w:bottom w:val="single" w:color="auto" w:sz="4" w:space="0"/>
              <w:right w:val="single" w:color="auto" w:sz="4" w:space="0"/>
            </w:tcBorders>
            <w:noWrap/>
            <w:vAlign w:val="center"/>
          </w:tcPr>
          <w:p>
            <w:pPr>
              <w:pStyle w:val="5"/>
              <w:spacing w:before="0" w:beforeAutospacing="0" w:after="0" w:afterAutospacing="0"/>
              <w:ind w:firstLine="360" w:firstLineChars="200"/>
              <w:rPr>
                <w:color w:val="auto"/>
                <w:sz w:val="18"/>
                <w:szCs w:val="18"/>
                <w:highlight w:val="none"/>
              </w:rPr>
            </w:pPr>
            <w:r>
              <w:rPr>
                <w:rFonts w:hint="eastAsia"/>
                <w:color w:val="auto"/>
                <w:sz w:val="18"/>
                <w:szCs w:val="18"/>
                <w:highlight w:val="none"/>
              </w:rPr>
              <w:t>11392</w:t>
            </w:r>
          </w:p>
        </w:tc>
      </w:tr>
      <w:tr>
        <w:tblPrEx>
          <w:tblCellMar>
            <w:top w:w="0" w:type="dxa"/>
            <w:left w:w="108" w:type="dxa"/>
            <w:bottom w:w="0" w:type="dxa"/>
            <w:right w:w="108" w:type="dxa"/>
          </w:tblCellMar>
        </w:tblPrEx>
        <w:trPr>
          <w:trHeight w:val="238" w:hRule="atLeast"/>
          <w:jc w:val="center"/>
        </w:trPr>
        <w:tc>
          <w:tcPr>
            <w:tcW w:w="1696" w:type="dxa"/>
            <w:tcBorders>
              <w:top w:val="nil"/>
              <w:left w:val="single" w:color="auto" w:sz="4" w:space="0"/>
              <w:bottom w:val="single" w:color="auto" w:sz="4" w:space="0"/>
              <w:right w:val="single" w:color="auto" w:sz="4" w:space="0"/>
            </w:tcBorders>
            <w:noWrap/>
            <w:vAlign w:val="center"/>
          </w:tcPr>
          <w:p>
            <w:pPr>
              <w:pStyle w:val="5"/>
              <w:spacing w:before="0" w:beforeAutospacing="0" w:after="0" w:afterAutospacing="0"/>
              <w:ind w:firstLine="360" w:firstLineChars="200"/>
              <w:rPr>
                <w:color w:val="auto"/>
                <w:sz w:val="18"/>
                <w:szCs w:val="18"/>
                <w:highlight w:val="none"/>
              </w:rPr>
            </w:pPr>
            <w:r>
              <w:rPr>
                <w:rFonts w:hint="eastAsia"/>
                <w:color w:val="auto"/>
                <w:sz w:val="18"/>
                <w:szCs w:val="18"/>
                <w:highlight w:val="none"/>
              </w:rPr>
              <w:t>H7/M3渣土车</w:t>
            </w:r>
          </w:p>
        </w:tc>
        <w:tc>
          <w:tcPr>
            <w:tcW w:w="856" w:type="dxa"/>
            <w:tcBorders>
              <w:top w:val="nil"/>
              <w:left w:val="nil"/>
              <w:bottom w:val="single" w:color="auto" w:sz="4" w:space="0"/>
              <w:right w:val="single" w:color="auto" w:sz="4" w:space="0"/>
            </w:tcBorders>
            <w:noWrap/>
            <w:vAlign w:val="center"/>
          </w:tcPr>
          <w:p>
            <w:pPr>
              <w:pStyle w:val="5"/>
              <w:spacing w:before="0" w:beforeAutospacing="0" w:after="0" w:afterAutospacing="0"/>
              <w:rPr>
                <w:color w:val="auto"/>
                <w:sz w:val="18"/>
                <w:szCs w:val="18"/>
                <w:highlight w:val="none"/>
              </w:rPr>
            </w:pPr>
            <w:r>
              <w:rPr>
                <w:rFonts w:hint="eastAsia"/>
                <w:color w:val="auto"/>
                <w:sz w:val="18"/>
                <w:szCs w:val="18"/>
                <w:highlight w:val="none"/>
              </w:rPr>
              <w:t>69263</w:t>
            </w:r>
          </w:p>
        </w:tc>
        <w:tc>
          <w:tcPr>
            <w:tcW w:w="1047" w:type="dxa"/>
            <w:tcBorders>
              <w:top w:val="nil"/>
              <w:left w:val="nil"/>
              <w:bottom w:val="single" w:color="auto" w:sz="4" w:space="0"/>
              <w:right w:val="single" w:color="auto" w:sz="4" w:space="0"/>
            </w:tcBorders>
            <w:noWrap/>
            <w:vAlign w:val="center"/>
          </w:tcPr>
          <w:p>
            <w:pPr>
              <w:pStyle w:val="5"/>
              <w:spacing w:before="0" w:beforeAutospacing="0" w:after="0" w:afterAutospacing="0"/>
              <w:ind w:firstLine="360" w:firstLineChars="200"/>
              <w:rPr>
                <w:color w:val="auto"/>
                <w:sz w:val="18"/>
                <w:szCs w:val="18"/>
                <w:highlight w:val="none"/>
              </w:rPr>
            </w:pPr>
            <w:r>
              <w:rPr>
                <w:rFonts w:hint="eastAsia"/>
                <w:color w:val="auto"/>
                <w:sz w:val="18"/>
                <w:szCs w:val="18"/>
                <w:highlight w:val="none"/>
              </w:rPr>
              <w:t>4641</w:t>
            </w:r>
          </w:p>
        </w:tc>
        <w:tc>
          <w:tcPr>
            <w:tcW w:w="1306" w:type="dxa"/>
            <w:tcBorders>
              <w:top w:val="nil"/>
              <w:left w:val="nil"/>
              <w:bottom w:val="single" w:color="auto" w:sz="4" w:space="0"/>
              <w:right w:val="single" w:color="auto" w:sz="4" w:space="0"/>
            </w:tcBorders>
            <w:noWrap/>
            <w:vAlign w:val="center"/>
          </w:tcPr>
          <w:p>
            <w:pPr>
              <w:pStyle w:val="5"/>
              <w:spacing w:before="0" w:beforeAutospacing="0" w:after="0" w:afterAutospacing="0"/>
              <w:ind w:firstLine="360" w:firstLineChars="200"/>
              <w:rPr>
                <w:color w:val="auto"/>
                <w:sz w:val="18"/>
                <w:szCs w:val="18"/>
                <w:highlight w:val="none"/>
              </w:rPr>
            </w:pPr>
            <w:r>
              <w:rPr>
                <w:rFonts w:hint="eastAsia"/>
                <w:color w:val="auto"/>
                <w:sz w:val="18"/>
                <w:szCs w:val="18"/>
                <w:highlight w:val="none"/>
              </w:rPr>
              <w:t>34632</w:t>
            </w:r>
          </w:p>
        </w:tc>
        <w:tc>
          <w:tcPr>
            <w:tcW w:w="1101" w:type="dxa"/>
            <w:tcBorders>
              <w:top w:val="nil"/>
              <w:left w:val="nil"/>
              <w:bottom w:val="single" w:color="auto" w:sz="4" w:space="0"/>
              <w:right w:val="single" w:color="auto" w:sz="4" w:space="0"/>
            </w:tcBorders>
            <w:noWrap/>
            <w:vAlign w:val="center"/>
          </w:tcPr>
          <w:p>
            <w:pPr>
              <w:pStyle w:val="5"/>
              <w:spacing w:before="0" w:beforeAutospacing="0" w:after="0" w:afterAutospacing="0"/>
              <w:ind w:firstLine="360" w:firstLineChars="200"/>
              <w:rPr>
                <w:color w:val="auto"/>
                <w:sz w:val="18"/>
                <w:szCs w:val="18"/>
                <w:highlight w:val="none"/>
              </w:rPr>
            </w:pPr>
            <w:r>
              <w:rPr>
                <w:rFonts w:hint="eastAsia"/>
                <w:color w:val="auto"/>
                <w:sz w:val="18"/>
                <w:szCs w:val="18"/>
                <w:highlight w:val="none"/>
              </w:rPr>
              <w:t>4641</w:t>
            </w:r>
          </w:p>
        </w:tc>
        <w:tc>
          <w:tcPr>
            <w:tcW w:w="1437" w:type="dxa"/>
            <w:tcBorders>
              <w:top w:val="nil"/>
              <w:left w:val="nil"/>
              <w:bottom w:val="single" w:color="auto" w:sz="4" w:space="0"/>
              <w:right w:val="single" w:color="auto" w:sz="4" w:space="0"/>
            </w:tcBorders>
            <w:noWrap/>
            <w:vAlign w:val="center"/>
          </w:tcPr>
          <w:p>
            <w:pPr>
              <w:pStyle w:val="5"/>
              <w:spacing w:before="0" w:beforeAutospacing="0" w:after="0" w:afterAutospacing="0"/>
              <w:ind w:firstLine="360" w:firstLineChars="200"/>
              <w:rPr>
                <w:color w:val="auto"/>
                <w:sz w:val="18"/>
                <w:szCs w:val="18"/>
                <w:highlight w:val="none"/>
              </w:rPr>
            </w:pPr>
            <w:r>
              <w:rPr>
                <w:rFonts w:hint="eastAsia"/>
                <w:color w:val="auto"/>
                <w:sz w:val="18"/>
                <w:szCs w:val="18"/>
                <w:highlight w:val="none"/>
              </w:rPr>
              <w:t>2725</w:t>
            </w:r>
          </w:p>
        </w:tc>
        <w:tc>
          <w:tcPr>
            <w:tcW w:w="1493" w:type="dxa"/>
            <w:tcBorders>
              <w:top w:val="nil"/>
              <w:left w:val="nil"/>
              <w:bottom w:val="single" w:color="auto" w:sz="4" w:space="0"/>
              <w:right w:val="single" w:color="auto" w:sz="4" w:space="0"/>
            </w:tcBorders>
            <w:noWrap/>
            <w:vAlign w:val="center"/>
          </w:tcPr>
          <w:p>
            <w:pPr>
              <w:pStyle w:val="5"/>
              <w:spacing w:before="0" w:beforeAutospacing="0" w:after="0" w:afterAutospacing="0"/>
              <w:ind w:firstLine="360" w:firstLineChars="200"/>
              <w:rPr>
                <w:color w:val="auto"/>
                <w:sz w:val="18"/>
                <w:szCs w:val="18"/>
                <w:highlight w:val="none"/>
              </w:rPr>
            </w:pPr>
            <w:r>
              <w:rPr>
                <w:rFonts w:hint="eastAsia"/>
                <w:color w:val="auto"/>
                <w:sz w:val="18"/>
                <w:szCs w:val="18"/>
                <w:highlight w:val="none"/>
              </w:rPr>
              <w:t>2862</w:t>
            </w:r>
          </w:p>
        </w:tc>
      </w:tr>
      <w:tr>
        <w:tblPrEx>
          <w:tblCellMar>
            <w:top w:w="0" w:type="dxa"/>
            <w:left w:w="108" w:type="dxa"/>
            <w:bottom w:w="0" w:type="dxa"/>
            <w:right w:w="108" w:type="dxa"/>
          </w:tblCellMar>
        </w:tblPrEx>
        <w:trPr>
          <w:trHeight w:val="238" w:hRule="atLeast"/>
          <w:jc w:val="center"/>
        </w:trPr>
        <w:tc>
          <w:tcPr>
            <w:tcW w:w="1696" w:type="dxa"/>
            <w:tcBorders>
              <w:top w:val="nil"/>
              <w:left w:val="single" w:color="auto" w:sz="4" w:space="0"/>
              <w:bottom w:val="single" w:color="auto" w:sz="4" w:space="0"/>
              <w:right w:val="single" w:color="auto" w:sz="4" w:space="0"/>
            </w:tcBorders>
            <w:noWrap/>
            <w:vAlign w:val="center"/>
          </w:tcPr>
          <w:p>
            <w:pPr>
              <w:pStyle w:val="5"/>
              <w:spacing w:before="0" w:beforeAutospacing="0" w:after="0" w:afterAutospacing="0"/>
              <w:ind w:firstLine="360" w:firstLineChars="200"/>
              <w:rPr>
                <w:color w:val="auto"/>
                <w:sz w:val="18"/>
                <w:szCs w:val="18"/>
                <w:highlight w:val="none"/>
              </w:rPr>
            </w:pPr>
            <w:r>
              <w:rPr>
                <w:rFonts w:hint="eastAsia"/>
                <w:color w:val="auto"/>
                <w:sz w:val="18"/>
                <w:szCs w:val="18"/>
                <w:highlight w:val="none"/>
              </w:rPr>
              <w:t>H7/M5自卸车</w:t>
            </w:r>
          </w:p>
        </w:tc>
        <w:tc>
          <w:tcPr>
            <w:tcW w:w="856" w:type="dxa"/>
            <w:tcBorders>
              <w:top w:val="nil"/>
              <w:left w:val="nil"/>
              <w:bottom w:val="single" w:color="auto" w:sz="4" w:space="0"/>
              <w:right w:val="single" w:color="auto" w:sz="4" w:space="0"/>
            </w:tcBorders>
            <w:noWrap/>
            <w:vAlign w:val="center"/>
          </w:tcPr>
          <w:p>
            <w:pPr>
              <w:pStyle w:val="5"/>
              <w:spacing w:before="0" w:beforeAutospacing="0" w:after="0" w:afterAutospacing="0"/>
              <w:rPr>
                <w:color w:val="auto"/>
                <w:sz w:val="18"/>
                <w:szCs w:val="18"/>
                <w:highlight w:val="none"/>
              </w:rPr>
            </w:pPr>
            <w:r>
              <w:rPr>
                <w:rFonts w:hint="eastAsia"/>
                <w:color w:val="auto"/>
                <w:sz w:val="18"/>
                <w:szCs w:val="18"/>
                <w:highlight w:val="none"/>
              </w:rPr>
              <w:t>58786</w:t>
            </w:r>
          </w:p>
        </w:tc>
        <w:tc>
          <w:tcPr>
            <w:tcW w:w="1047" w:type="dxa"/>
            <w:tcBorders>
              <w:top w:val="nil"/>
              <w:left w:val="nil"/>
              <w:bottom w:val="single" w:color="auto" w:sz="4" w:space="0"/>
              <w:right w:val="single" w:color="auto" w:sz="4" w:space="0"/>
            </w:tcBorders>
            <w:noWrap/>
            <w:vAlign w:val="center"/>
          </w:tcPr>
          <w:p>
            <w:pPr>
              <w:pStyle w:val="5"/>
              <w:spacing w:before="0" w:beforeAutospacing="0" w:after="0" w:afterAutospacing="0"/>
              <w:ind w:firstLine="360" w:firstLineChars="200"/>
              <w:rPr>
                <w:color w:val="auto"/>
                <w:sz w:val="18"/>
                <w:szCs w:val="18"/>
                <w:highlight w:val="none"/>
              </w:rPr>
            </w:pPr>
            <w:r>
              <w:rPr>
                <w:rFonts w:hint="eastAsia"/>
                <w:color w:val="auto"/>
                <w:sz w:val="18"/>
                <w:szCs w:val="18"/>
                <w:highlight w:val="none"/>
              </w:rPr>
              <w:t>4291</w:t>
            </w:r>
          </w:p>
        </w:tc>
        <w:tc>
          <w:tcPr>
            <w:tcW w:w="1306" w:type="dxa"/>
            <w:tcBorders>
              <w:top w:val="nil"/>
              <w:left w:val="nil"/>
              <w:bottom w:val="single" w:color="auto" w:sz="4" w:space="0"/>
              <w:right w:val="single" w:color="auto" w:sz="4" w:space="0"/>
            </w:tcBorders>
            <w:noWrap/>
            <w:vAlign w:val="center"/>
          </w:tcPr>
          <w:p>
            <w:pPr>
              <w:pStyle w:val="5"/>
              <w:spacing w:before="0" w:beforeAutospacing="0" w:after="0" w:afterAutospacing="0"/>
              <w:ind w:firstLine="360" w:firstLineChars="200"/>
              <w:rPr>
                <w:color w:val="auto"/>
                <w:sz w:val="18"/>
                <w:szCs w:val="18"/>
                <w:highlight w:val="none"/>
              </w:rPr>
            </w:pPr>
            <w:r>
              <w:rPr>
                <w:rFonts w:hint="eastAsia"/>
                <w:color w:val="auto"/>
                <w:sz w:val="18"/>
                <w:szCs w:val="18"/>
                <w:highlight w:val="none"/>
              </w:rPr>
              <w:t>29393</w:t>
            </w:r>
          </w:p>
        </w:tc>
        <w:tc>
          <w:tcPr>
            <w:tcW w:w="1101" w:type="dxa"/>
            <w:tcBorders>
              <w:top w:val="nil"/>
              <w:left w:val="nil"/>
              <w:bottom w:val="single" w:color="auto" w:sz="4" w:space="0"/>
              <w:right w:val="single" w:color="auto" w:sz="4" w:space="0"/>
            </w:tcBorders>
            <w:noWrap/>
            <w:vAlign w:val="center"/>
          </w:tcPr>
          <w:p>
            <w:pPr>
              <w:pStyle w:val="5"/>
              <w:spacing w:before="0" w:beforeAutospacing="0" w:after="0" w:afterAutospacing="0"/>
              <w:ind w:firstLine="360" w:firstLineChars="200"/>
              <w:rPr>
                <w:color w:val="auto"/>
                <w:sz w:val="18"/>
                <w:szCs w:val="18"/>
                <w:highlight w:val="none"/>
              </w:rPr>
            </w:pPr>
            <w:r>
              <w:rPr>
                <w:rFonts w:hint="eastAsia"/>
                <w:color w:val="auto"/>
                <w:sz w:val="18"/>
                <w:szCs w:val="18"/>
                <w:highlight w:val="none"/>
              </w:rPr>
              <w:t>4291</w:t>
            </w:r>
          </w:p>
        </w:tc>
        <w:tc>
          <w:tcPr>
            <w:tcW w:w="1437" w:type="dxa"/>
            <w:tcBorders>
              <w:top w:val="nil"/>
              <w:left w:val="nil"/>
              <w:bottom w:val="single" w:color="auto" w:sz="4" w:space="0"/>
              <w:right w:val="single" w:color="auto" w:sz="4" w:space="0"/>
            </w:tcBorders>
            <w:noWrap/>
            <w:vAlign w:val="center"/>
          </w:tcPr>
          <w:p>
            <w:pPr>
              <w:pStyle w:val="5"/>
              <w:spacing w:before="0" w:beforeAutospacing="0" w:after="0" w:afterAutospacing="0"/>
              <w:ind w:firstLine="360" w:firstLineChars="200"/>
              <w:rPr>
                <w:color w:val="auto"/>
                <w:sz w:val="18"/>
                <w:szCs w:val="18"/>
                <w:highlight w:val="none"/>
              </w:rPr>
            </w:pPr>
            <w:r>
              <w:rPr>
                <w:rFonts w:hint="eastAsia"/>
                <w:color w:val="auto"/>
                <w:sz w:val="18"/>
                <w:szCs w:val="18"/>
                <w:highlight w:val="none"/>
              </w:rPr>
              <w:t>2311</w:t>
            </w:r>
          </w:p>
        </w:tc>
        <w:tc>
          <w:tcPr>
            <w:tcW w:w="1493" w:type="dxa"/>
            <w:tcBorders>
              <w:top w:val="nil"/>
              <w:left w:val="nil"/>
              <w:bottom w:val="single" w:color="auto" w:sz="4" w:space="0"/>
              <w:right w:val="single" w:color="auto" w:sz="4" w:space="0"/>
            </w:tcBorders>
            <w:noWrap/>
            <w:vAlign w:val="center"/>
          </w:tcPr>
          <w:p>
            <w:pPr>
              <w:pStyle w:val="5"/>
              <w:spacing w:before="0" w:beforeAutospacing="0" w:after="0" w:afterAutospacing="0"/>
              <w:ind w:firstLine="360" w:firstLineChars="200"/>
              <w:rPr>
                <w:color w:val="auto"/>
                <w:sz w:val="18"/>
                <w:szCs w:val="18"/>
                <w:highlight w:val="none"/>
              </w:rPr>
            </w:pPr>
            <w:r>
              <w:rPr>
                <w:rFonts w:hint="eastAsia"/>
                <w:color w:val="auto"/>
                <w:sz w:val="18"/>
                <w:szCs w:val="18"/>
                <w:highlight w:val="none"/>
              </w:rPr>
              <w:t>2426</w:t>
            </w:r>
          </w:p>
        </w:tc>
      </w:tr>
      <w:tr>
        <w:tblPrEx>
          <w:tblCellMar>
            <w:top w:w="0" w:type="dxa"/>
            <w:left w:w="108" w:type="dxa"/>
            <w:bottom w:w="0" w:type="dxa"/>
            <w:right w:w="108" w:type="dxa"/>
          </w:tblCellMar>
        </w:tblPrEx>
        <w:trPr>
          <w:trHeight w:val="238" w:hRule="atLeast"/>
          <w:jc w:val="center"/>
        </w:trPr>
        <w:tc>
          <w:tcPr>
            <w:tcW w:w="1696" w:type="dxa"/>
            <w:tcBorders>
              <w:top w:val="nil"/>
              <w:left w:val="single" w:color="auto" w:sz="4" w:space="0"/>
              <w:bottom w:val="single" w:color="auto" w:sz="4" w:space="0"/>
              <w:right w:val="single" w:color="auto" w:sz="4" w:space="0"/>
            </w:tcBorders>
            <w:noWrap/>
            <w:vAlign w:val="center"/>
          </w:tcPr>
          <w:p>
            <w:pPr>
              <w:pStyle w:val="5"/>
              <w:spacing w:before="0" w:beforeAutospacing="0" w:after="0" w:afterAutospacing="0"/>
              <w:ind w:firstLine="360" w:firstLineChars="200"/>
              <w:rPr>
                <w:color w:val="auto"/>
                <w:sz w:val="18"/>
                <w:szCs w:val="18"/>
                <w:highlight w:val="none"/>
              </w:rPr>
            </w:pPr>
            <w:r>
              <w:rPr>
                <w:rFonts w:hint="eastAsia"/>
                <w:color w:val="auto"/>
                <w:sz w:val="18"/>
                <w:szCs w:val="18"/>
                <w:highlight w:val="none"/>
              </w:rPr>
              <w:t>出口载货车</w:t>
            </w:r>
          </w:p>
        </w:tc>
        <w:tc>
          <w:tcPr>
            <w:tcW w:w="856" w:type="dxa"/>
            <w:tcBorders>
              <w:top w:val="nil"/>
              <w:left w:val="nil"/>
              <w:bottom w:val="single" w:color="auto" w:sz="4" w:space="0"/>
              <w:right w:val="single" w:color="auto" w:sz="4" w:space="0"/>
            </w:tcBorders>
            <w:noWrap/>
            <w:vAlign w:val="center"/>
          </w:tcPr>
          <w:p>
            <w:pPr>
              <w:pStyle w:val="5"/>
              <w:spacing w:before="0" w:beforeAutospacing="0" w:after="0" w:afterAutospacing="0"/>
              <w:rPr>
                <w:color w:val="auto"/>
                <w:sz w:val="18"/>
                <w:szCs w:val="18"/>
                <w:highlight w:val="none"/>
              </w:rPr>
            </w:pPr>
            <w:r>
              <w:rPr>
                <w:rFonts w:hint="eastAsia"/>
                <w:color w:val="auto"/>
                <w:sz w:val="18"/>
                <w:szCs w:val="18"/>
                <w:highlight w:val="none"/>
              </w:rPr>
              <w:t>2395</w:t>
            </w:r>
          </w:p>
        </w:tc>
        <w:tc>
          <w:tcPr>
            <w:tcW w:w="1047" w:type="dxa"/>
            <w:tcBorders>
              <w:top w:val="nil"/>
              <w:left w:val="nil"/>
              <w:bottom w:val="single" w:color="auto" w:sz="4" w:space="0"/>
              <w:right w:val="single" w:color="auto" w:sz="4" w:space="0"/>
            </w:tcBorders>
            <w:noWrap/>
            <w:vAlign w:val="center"/>
          </w:tcPr>
          <w:p>
            <w:pPr>
              <w:pStyle w:val="5"/>
              <w:spacing w:before="0" w:beforeAutospacing="0" w:after="0" w:afterAutospacing="0"/>
              <w:ind w:firstLine="360" w:firstLineChars="200"/>
              <w:rPr>
                <w:color w:val="auto"/>
                <w:sz w:val="18"/>
                <w:szCs w:val="18"/>
                <w:highlight w:val="none"/>
              </w:rPr>
            </w:pPr>
            <w:r>
              <w:rPr>
                <w:rFonts w:hint="eastAsia"/>
                <w:color w:val="auto"/>
                <w:sz w:val="18"/>
                <w:szCs w:val="18"/>
                <w:highlight w:val="none"/>
              </w:rPr>
              <w:t>108</w:t>
            </w:r>
          </w:p>
        </w:tc>
        <w:tc>
          <w:tcPr>
            <w:tcW w:w="1306" w:type="dxa"/>
            <w:tcBorders>
              <w:top w:val="nil"/>
              <w:left w:val="nil"/>
              <w:bottom w:val="single" w:color="auto" w:sz="4" w:space="0"/>
              <w:right w:val="single" w:color="auto" w:sz="4" w:space="0"/>
            </w:tcBorders>
            <w:noWrap/>
            <w:vAlign w:val="center"/>
          </w:tcPr>
          <w:p>
            <w:pPr>
              <w:pStyle w:val="5"/>
              <w:spacing w:before="0" w:beforeAutospacing="0" w:after="0" w:afterAutospacing="0"/>
              <w:ind w:firstLine="360" w:firstLineChars="200"/>
              <w:rPr>
                <w:color w:val="auto"/>
                <w:sz w:val="18"/>
                <w:szCs w:val="18"/>
                <w:highlight w:val="none"/>
              </w:rPr>
            </w:pPr>
            <w:r>
              <w:rPr>
                <w:rFonts w:hint="eastAsia"/>
                <w:color w:val="auto"/>
                <w:sz w:val="18"/>
                <w:szCs w:val="18"/>
                <w:highlight w:val="none"/>
              </w:rPr>
              <w:t>1198</w:t>
            </w:r>
          </w:p>
        </w:tc>
        <w:tc>
          <w:tcPr>
            <w:tcW w:w="1101" w:type="dxa"/>
            <w:tcBorders>
              <w:top w:val="nil"/>
              <w:left w:val="nil"/>
              <w:bottom w:val="single" w:color="auto" w:sz="4" w:space="0"/>
              <w:right w:val="single" w:color="auto" w:sz="4" w:space="0"/>
            </w:tcBorders>
            <w:noWrap/>
            <w:vAlign w:val="center"/>
          </w:tcPr>
          <w:p>
            <w:pPr>
              <w:pStyle w:val="5"/>
              <w:spacing w:before="0" w:beforeAutospacing="0" w:after="0" w:afterAutospacing="0"/>
              <w:ind w:firstLine="360" w:firstLineChars="200"/>
              <w:rPr>
                <w:color w:val="auto"/>
                <w:sz w:val="18"/>
                <w:szCs w:val="18"/>
                <w:highlight w:val="none"/>
              </w:rPr>
            </w:pPr>
            <w:r>
              <w:rPr>
                <w:rFonts w:hint="eastAsia"/>
                <w:color w:val="auto"/>
                <w:sz w:val="18"/>
                <w:szCs w:val="18"/>
                <w:highlight w:val="none"/>
              </w:rPr>
              <w:t>108</w:t>
            </w:r>
          </w:p>
        </w:tc>
        <w:tc>
          <w:tcPr>
            <w:tcW w:w="1437" w:type="dxa"/>
            <w:tcBorders>
              <w:top w:val="nil"/>
              <w:left w:val="nil"/>
              <w:bottom w:val="single" w:color="auto" w:sz="4" w:space="0"/>
              <w:right w:val="single" w:color="auto" w:sz="4" w:space="0"/>
            </w:tcBorders>
            <w:noWrap/>
            <w:vAlign w:val="center"/>
          </w:tcPr>
          <w:p>
            <w:pPr>
              <w:pStyle w:val="5"/>
              <w:spacing w:before="0" w:beforeAutospacing="0" w:after="0" w:afterAutospacing="0"/>
              <w:ind w:firstLine="360" w:firstLineChars="200"/>
              <w:rPr>
                <w:color w:val="auto"/>
                <w:sz w:val="18"/>
                <w:szCs w:val="18"/>
                <w:highlight w:val="none"/>
              </w:rPr>
            </w:pPr>
            <w:r>
              <w:rPr>
                <w:rFonts w:hint="eastAsia"/>
                <w:color w:val="auto"/>
                <w:sz w:val="18"/>
                <w:szCs w:val="18"/>
                <w:highlight w:val="none"/>
              </w:rPr>
              <w:t>78</w:t>
            </w:r>
          </w:p>
        </w:tc>
        <w:tc>
          <w:tcPr>
            <w:tcW w:w="1493" w:type="dxa"/>
            <w:tcBorders>
              <w:top w:val="nil"/>
              <w:left w:val="nil"/>
              <w:bottom w:val="single" w:color="auto" w:sz="4" w:space="0"/>
              <w:right w:val="single" w:color="auto" w:sz="4" w:space="0"/>
            </w:tcBorders>
            <w:noWrap/>
            <w:vAlign w:val="center"/>
          </w:tcPr>
          <w:p>
            <w:pPr>
              <w:pStyle w:val="5"/>
              <w:spacing w:before="0" w:beforeAutospacing="0" w:after="0" w:afterAutospacing="0"/>
              <w:ind w:firstLine="360" w:firstLineChars="200"/>
              <w:rPr>
                <w:color w:val="auto"/>
                <w:sz w:val="18"/>
                <w:szCs w:val="18"/>
                <w:highlight w:val="none"/>
              </w:rPr>
            </w:pPr>
            <w:r>
              <w:rPr>
                <w:rFonts w:hint="eastAsia"/>
                <w:color w:val="auto"/>
                <w:sz w:val="18"/>
                <w:szCs w:val="18"/>
                <w:highlight w:val="none"/>
              </w:rPr>
              <w:t>82</w:t>
            </w:r>
          </w:p>
        </w:tc>
      </w:tr>
      <w:tr>
        <w:tblPrEx>
          <w:tblCellMar>
            <w:top w:w="0" w:type="dxa"/>
            <w:left w:w="108" w:type="dxa"/>
            <w:bottom w:w="0" w:type="dxa"/>
            <w:right w:w="108" w:type="dxa"/>
          </w:tblCellMar>
        </w:tblPrEx>
        <w:trPr>
          <w:trHeight w:val="238" w:hRule="atLeast"/>
          <w:jc w:val="center"/>
        </w:trPr>
        <w:tc>
          <w:tcPr>
            <w:tcW w:w="1696" w:type="dxa"/>
            <w:tcBorders>
              <w:top w:val="nil"/>
              <w:left w:val="single" w:color="auto" w:sz="4" w:space="0"/>
              <w:bottom w:val="single" w:color="auto" w:sz="4" w:space="0"/>
              <w:right w:val="single" w:color="auto" w:sz="4" w:space="0"/>
            </w:tcBorders>
            <w:noWrap/>
            <w:vAlign w:val="center"/>
          </w:tcPr>
          <w:p>
            <w:pPr>
              <w:pStyle w:val="5"/>
              <w:spacing w:before="0" w:beforeAutospacing="0" w:after="0" w:afterAutospacing="0"/>
              <w:ind w:firstLine="360" w:firstLineChars="200"/>
              <w:rPr>
                <w:color w:val="auto"/>
                <w:sz w:val="18"/>
                <w:szCs w:val="18"/>
                <w:highlight w:val="none"/>
              </w:rPr>
            </w:pPr>
            <w:r>
              <w:rPr>
                <w:rFonts w:hint="eastAsia"/>
                <w:color w:val="auto"/>
                <w:sz w:val="18"/>
                <w:szCs w:val="18"/>
                <w:highlight w:val="none"/>
              </w:rPr>
              <w:t>乘用车</w:t>
            </w:r>
          </w:p>
        </w:tc>
        <w:tc>
          <w:tcPr>
            <w:tcW w:w="856" w:type="dxa"/>
            <w:tcBorders>
              <w:top w:val="nil"/>
              <w:left w:val="nil"/>
              <w:bottom w:val="single" w:color="auto" w:sz="4" w:space="0"/>
              <w:right w:val="single" w:color="auto" w:sz="4" w:space="0"/>
            </w:tcBorders>
            <w:noWrap/>
            <w:vAlign w:val="center"/>
          </w:tcPr>
          <w:p>
            <w:pPr>
              <w:pStyle w:val="5"/>
              <w:spacing w:before="0" w:beforeAutospacing="0" w:after="0" w:afterAutospacing="0"/>
              <w:rPr>
                <w:color w:val="auto"/>
                <w:sz w:val="18"/>
                <w:szCs w:val="18"/>
                <w:highlight w:val="none"/>
              </w:rPr>
            </w:pPr>
            <w:r>
              <w:rPr>
                <w:rFonts w:hint="eastAsia"/>
                <w:color w:val="auto"/>
                <w:sz w:val="18"/>
                <w:szCs w:val="18"/>
                <w:highlight w:val="none"/>
              </w:rPr>
              <w:t>178545</w:t>
            </w:r>
          </w:p>
        </w:tc>
        <w:tc>
          <w:tcPr>
            <w:tcW w:w="1047" w:type="dxa"/>
            <w:tcBorders>
              <w:top w:val="nil"/>
              <w:left w:val="nil"/>
              <w:bottom w:val="single" w:color="auto" w:sz="4" w:space="0"/>
              <w:right w:val="single" w:color="auto" w:sz="4" w:space="0"/>
            </w:tcBorders>
            <w:noWrap/>
            <w:vAlign w:val="center"/>
          </w:tcPr>
          <w:p>
            <w:pPr>
              <w:pStyle w:val="5"/>
              <w:spacing w:before="0" w:beforeAutospacing="0" w:after="0" w:afterAutospacing="0"/>
              <w:ind w:firstLine="360" w:firstLineChars="200"/>
              <w:rPr>
                <w:color w:val="auto"/>
                <w:sz w:val="18"/>
                <w:szCs w:val="18"/>
                <w:highlight w:val="none"/>
              </w:rPr>
            </w:pPr>
            <w:r>
              <w:rPr>
                <w:rFonts w:hint="eastAsia"/>
                <w:color w:val="auto"/>
                <w:sz w:val="18"/>
                <w:szCs w:val="18"/>
                <w:highlight w:val="none"/>
              </w:rPr>
              <w:t>4107</w:t>
            </w:r>
          </w:p>
        </w:tc>
        <w:tc>
          <w:tcPr>
            <w:tcW w:w="1306" w:type="dxa"/>
            <w:tcBorders>
              <w:top w:val="nil"/>
              <w:left w:val="nil"/>
              <w:bottom w:val="single" w:color="auto" w:sz="4" w:space="0"/>
              <w:right w:val="single" w:color="auto" w:sz="4" w:space="0"/>
            </w:tcBorders>
            <w:noWrap/>
            <w:vAlign w:val="center"/>
          </w:tcPr>
          <w:p>
            <w:pPr>
              <w:pStyle w:val="5"/>
              <w:spacing w:before="0" w:beforeAutospacing="0" w:after="0" w:afterAutospacing="0"/>
              <w:ind w:firstLine="360" w:firstLineChars="200"/>
              <w:rPr>
                <w:color w:val="auto"/>
                <w:sz w:val="18"/>
                <w:szCs w:val="18"/>
                <w:highlight w:val="none"/>
              </w:rPr>
            </w:pPr>
            <w:r>
              <w:rPr>
                <w:rFonts w:hint="eastAsia"/>
                <w:color w:val="auto"/>
                <w:sz w:val="18"/>
                <w:szCs w:val="18"/>
                <w:highlight w:val="none"/>
              </w:rPr>
              <w:t>178545</w:t>
            </w:r>
          </w:p>
        </w:tc>
        <w:tc>
          <w:tcPr>
            <w:tcW w:w="1101" w:type="dxa"/>
            <w:tcBorders>
              <w:top w:val="nil"/>
              <w:left w:val="nil"/>
              <w:bottom w:val="single" w:color="auto" w:sz="4" w:space="0"/>
              <w:right w:val="single" w:color="auto" w:sz="4" w:space="0"/>
            </w:tcBorders>
            <w:noWrap/>
            <w:vAlign w:val="center"/>
          </w:tcPr>
          <w:p>
            <w:pPr>
              <w:pStyle w:val="5"/>
              <w:spacing w:before="0" w:beforeAutospacing="0" w:after="0" w:afterAutospacing="0"/>
              <w:ind w:firstLine="360" w:firstLineChars="200"/>
              <w:rPr>
                <w:color w:val="auto"/>
                <w:sz w:val="18"/>
                <w:szCs w:val="18"/>
                <w:highlight w:val="none"/>
              </w:rPr>
            </w:pPr>
            <w:r>
              <w:rPr>
                <w:rFonts w:hint="eastAsia"/>
                <w:color w:val="auto"/>
                <w:sz w:val="18"/>
                <w:szCs w:val="18"/>
                <w:highlight w:val="none"/>
              </w:rPr>
              <w:t>4090</w:t>
            </w:r>
          </w:p>
        </w:tc>
        <w:tc>
          <w:tcPr>
            <w:tcW w:w="1437" w:type="dxa"/>
            <w:tcBorders>
              <w:top w:val="nil"/>
              <w:left w:val="nil"/>
              <w:bottom w:val="single" w:color="auto" w:sz="4" w:space="0"/>
              <w:right w:val="single" w:color="auto" w:sz="4" w:space="0"/>
            </w:tcBorders>
            <w:noWrap/>
            <w:vAlign w:val="center"/>
          </w:tcPr>
          <w:p>
            <w:pPr>
              <w:pStyle w:val="5"/>
              <w:spacing w:before="0" w:beforeAutospacing="0" w:after="0" w:afterAutospacing="0"/>
              <w:ind w:firstLine="360" w:firstLineChars="200"/>
              <w:rPr>
                <w:color w:val="auto"/>
                <w:sz w:val="18"/>
                <w:szCs w:val="18"/>
                <w:highlight w:val="none"/>
              </w:rPr>
            </w:pPr>
            <w:r>
              <w:rPr>
                <w:rFonts w:hint="eastAsia"/>
                <w:color w:val="auto"/>
                <w:sz w:val="18"/>
                <w:szCs w:val="18"/>
                <w:highlight w:val="none"/>
              </w:rPr>
              <w:t>357</w:t>
            </w:r>
          </w:p>
        </w:tc>
        <w:tc>
          <w:tcPr>
            <w:tcW w:w="1493" w:type="dxa"/>
            <w:tcBorders>
              <w:top w:val="nil"/>
              <w:left w:val="nil"/>
              <w:bottom w:val="single" w:color="auto" w:sz="4" w:space="0"/>
              <w:right w:val="single" w:color="auto" w:sz="4" w:space="0"/>
            </w:tcBorders>
            <w:noWrap/>
            <w:vAlign w:val="center"/>
          </w:tcPr>
          <w:p>
            <w:pPr>
              <w:pStyle w:val="5"/>
              <w:spacing w:before="0" w:beforeAutospacing="0" w:after="0" w:afterAutospacing="0"/>
              <w:ind w:firstLine="360" w:firstLineChars="200"/>
              <w:rPr>
                <w:color w:val="auto"/>
                <w:sz w:val="18"/>
                <w:szCs w:val="18"/>
                <w:highlight w:val="none"/>
              </w:rPr>
            </w:pPr>
            <w:r>
              <w:rPr>
                <w:rFonts w:hint="eastAsia"/>
                <w:color w:val="auto"/>
                <w:sz w:val="18"/>
                <w:szCs w:val="18"/>
                <w:highlight w:val="none"/>
              </w:rPr>
              <w:t>375</w:t>
            </w:r>
          </w:p>
        </w:tc>
      </w:tr>
      <w:tr>
        <w:tblPrEx>
          <w:tblCellMar>
            <w:top w:w="0" w:type="dxa"/>
            <w:left w:w="108" w:type="dxa"/>
            <w:bottom w:w="0" w:type="dxa"/>
            <w:right w:w="108" w:type="dxa"/>
          </w:tblCellMar>
        </w:tblPrEx>
        <w:trPr>
          <w:trHeight w:val="238" w:hRule="atLeast"/>
          <w:jc w:val="center"/>
        </w:trPr>
        <w:tc>
          <w:tcPr>
            <w:tcW w:w="1696" w:type="dxa"/>
            <w:tcBorders>
              <w:top w:val="nil"/>
              <w:left w:val="single" w:color="auto" w:sz="4" w:space="0"/>
              <w:bottom w:val="single" w:color="auto" w:sz="4" w:space="0"/>
              <w:right w:val="single" w:color="auto" w:sz="4" w:space="0"/>
            </w:tcBorders>
            <w:noWrap/>
            <w:vAlign w:val="center"/>
          </w:tcPr>
          <w:p>
            <w:pPr>
              <w:pStyle w:val="5"/>
              <w:spacing w:before="0" w:beforeAutospacing="0" w:after="0" w:afterAutospacing="0"/>
              <w:ind w:firstLine="360" w:firstLineChars="200"/>
              <w:rPr>
                <w:color w:val="auto"/>
                <w:sz w:val="18"/>
                <w:szCs w:val="18"/>
                <w:highlight w:val="none"/>
              </w:rPr>
            </w:pPr>
            <w:r>
              <w:rPr>
                <w:rFonts w:hint="eastAsia"/>
                <w:color w:val="auto"/>
                <w:sz w:val="18"/>
                <w:szCs w:val="18"/>
                <w:highlight w:val="none"/>
              </w:rPr>
              <w:t>其他</w:t>
            </w:r>
          </w:p>
        </w:tc>
        <w:tc>
          <w:tcPr>
            <w:tcW w:w="856" w:type="dxa"/>
            <w:tcBorders>
              <w:top w:val="nil"/>
              <w:left w:val="nil"/>
              <w:bottom w:val="single" w:color="auto" w:sz="4" w:space="0"/>
              <w:right w:val="single" w:color="auto" w:sz="4" w:space="0"/>
            </w:tcBorders>
            <w:noWrap/>
            <w:vAlign w:val="center"/>
          </w:tcPr>
          <w:p>
            <w:pPr>
              <w:pStyle w:val="5"/>
              <w:spacing w:before="0" w:beforeAutospacing="0" w:after="0" w:afterAutospacing="0"/>
              <w:rPr>
                <w:color w:val="auto"/>
                <w:sz w:val="18"/>
                <w:szCs w:val="18"/>
                <w:highlight w:val="none"/>
              </w:rPr>
            </w:pPr>
            <w:r>
              <w:rPr>
                <w:rFonts w:hint="eastAsia"/>
                <w:color w:val="auto"/>
                <w:sz w:val="18"/>
                <w:szCs w:val="18"/>
                <w:highlight w:val="none"/>
              </w:rPr>
              <w:t>5980</w:t>
            </w:r>
          </w:p>
        </w:tc>
        <w:tc>
          <w:tcPr>
            <w:tcW w:w="1047" w:type="dxa"/>
            <w:tcBorders>
              <w:top w:val="nil"/>
              <w:left w:val="nil"/>
              <w:bottom w:val="single" w:color="auto" w:sz="4" w:space="0"/>
              <w:right w:val="single" w:color="auto" w:sz="4" w:space="0"/>
            </w:tcBorders>
            <w:noWrap/>
            <w:vAlign w:val="center"/>
          </w:tcPr>
          <w:p>
            <w:pPr>
              <w:pStyle w:val="5"/>
              <w:spacing w:before="0" w:beforeAutospacing="0" w:after="0" w:afterAutospacing="0"/>
              <w:ind w:firstLine="360" w:firstLineChars="200"/>
              <w:rPr>
                <w:color w:val="auto"/>
                <w:sz w:val="18"/>
                <w:szCs w:val="18"/>
                <w:highlight w:val="none"/>
              </w:rPr>
            </w:pPr>
            <w:r>
              <w:rPr>
                <w:rFonts w:hint="eastAsia"/>
                <w:color w:val="auto"/>
                <w:sz w:val="18"/>
                <w:szCs w:val="18"/>
                <w:highlight w:val="none"/>
              </w:rPr>
              <w:t>718</w:t>
            </w:r>
          </w:p>
        </w:tc>
        <w:tc>
          <w:tcPr>
            <w:tcW w:w="1306" w:type="dxa"/>
            <w:tcBorders>
              <w:top w:val="nil"/>
              <w:left w:val="nil"/>
              <w:bottom w:val="single" w:color="auto" w:sz="4" w:space="0"/>
              <w:right w:val="single" w:color="auto" w:sz="4" w:space="0"/>
            </w:tcBorders>
            <w:noWrap/>
            <w:vAlign w:val="center"/>
          </w:tcPr>
          <w:p>
            <w:pPr>
              <w:pStyle w:val="5"/>
              <w:spacing w:before="0" w:beforeAutospacing="0" w:after="0" w:afterAutospacing="0"/>
              <w:ind w:firstLine="360" w:firstLineChars="200"/>
              <w:rPr>
                <w:color w:val="auto"/>
                <w:sz w:val="18"/>
                <w:szCs w:val="18"/>
                <w:highlight w:val="none"/>
              </w:rPr>
            </w:pPr>
            <w:r>
              <w:rPr>
                <w:rFonts w:hint="eastAsia"/>
                <w:color w:val="auto"/>
                <w:sz w:val="18"/>
                <w:szCs w:val="18"/>
                <w:highlight w:val="none"/>
              </w:rPr>
              <w:t>4983</w:t>
            </w:r>
          </w:p>
        </w:tc>
        <w:tc>
          <w:tcPr>
            <w:tcW w:w="1101" w:type="dxa"/>
            <w:tcBorders>
              <w:top w:val="nil"/>
              <w:left w:val="nil"/>
              <w:bottom w:val="single" w:color="auto" w:sz="4" w:space="0"/>
              <w:right w:val="single" w:color="auto" w:sz="4" w:space="0"/>
            </w:tcBorders>
            <w:noWrap/>
            <w:vAlign w:val="center"/>
          </w:tcPr>
          <w:p>
            <w:pPr>
              <w:pStyle w:val="5"/>
              <w:spacing w:before="0" w:beforeAutospacing="0" w:after="0" w:afterAutospacing="0"/>
              <w:ind w:firstLine="360" w:firstLineChars="200"/>
              <w:rPr>
                <w:color w:val="auto"/>
                <w:sz w:val="18"/>
                <w:szCs w:val="18"/>
                <w:highlight w:val="none"/>
              </w:rPr>
            </w:pPr>
            <w:r>
              <w:rPr>
                <w:rFonts w:hint="eastAsia"/>
                <w:color w:val="auto"/>
                <w:sz w:val="18"/>
                <w:szCs w:val="18"/>
                <w:highlight w:val="none"/>
              </w:rPr>
              <w:t>736</w:t>
            </w:r>
          </w:p>
        </w:tc>
        <w:tc>
          <w:tcPr>
            <w:tcW w:w="1437" w:type="dxa"/>
            <w:tcBorders>
              <w:top w:val="nil"/>
              <w:left w:val="nil"/>
              <w:bottom w:val="single" w:color="auto" w:sz="4" w:space="0"/>
              <w:right w:val="single" w:color="auto" w:sz="4" w:space="0"/>
            </w:tcBorders>
            <w:noWrap/>
            <w:vAlign w:val="center"/>
          </w:tcPr>
          <w:p>
            <w:pPr>
              <w:pStyle w:val="5"/>
              <w:spacing w:before="0" w:beforeAutospacing="0" w:after="0" w:afterAutospacing="0"/>
              <w:ind w:firstLine="360" w:firstLineChars="200"/>
              <w:rPr>
                <w:color w:val="auto"/>
                <w:sz w:val="18"/>
                <w:szCs w:val="18"/>
                <w:highlight w:val="none"/>
              </w:rPr>
            </w:pPr>
            <w:r>
              <w:rPr>
                <w:rFonts w:hint="eastAsia"/>
                <w:color w:val="auto"/>
                <w:sz w:val="18"/>
                <w:szCs w:val="18"/>
                <w:highlight w:val="none"/>
              </w:rPr>
              <w:t>89</w:t>
            </w:r>
          </w:p>
        </w:tc>
        <w:tc>
          <w:tcPr>
            <w:tcW w:w="1493" w:type="dxa"/>
            <w:tcBorders>
              <w:top w:val="nil"/>
              <w:left w:val="nil"/>
              <w:bottom w:val="single" w:color="auto" w:sz="4" w:space="0"/>
              <w:right w:val="single" w:color="auto" w:sz="4" w:space="0"/>
            </w:tcBorders>
            <w:noWrap/>
            <w:vAlign w:val="center"/>
          </w:tcPr>
          <w:p>
            <w:pPr>
              <w:pStyle w:val="5"/>
              <w:spacing w:before="0" w:beforeAutospacing="0" w:after="0" w:afterAutospacing="0"/>
              <w:ind w:firstLine="360" w:firstLineChars="200"/>
              <w:rPr>
                <w:color w:val="auto"/>
                <w:sz w:val="18"/>
                <w:szCs w:val="18"/>
                <w:highlight w:val="none"/>
              </w:rPr>
            </w:pPr>
            <w:r>
              <w:rPr>
                <w:rFonts w:hint="eastAsia"/>
                <w:color w:val="auto"/>
                <w:sz w:val="18"/>
                <w:szCs w:val="18"/>
                <w:highlight w:val="none"/>
              </w:rPr>
              <w:t>93</w:t>
            </w:r>
          </w:p>
        </w:tc>
      </w:tr>
      <w:tr>
        <w:tblPrEx>
          <w:tblCellMar>
            <w:top w:w="0" w:type="dxa"/>
            <w:left w:w="108" w:type="dxa"/>
            <w:bottom w:w="0" w:type="dxa"/>
            <w:right w:w="108" w:type="dxa"/>
          </w:tblCellMar>
        </w:tblPrEx>
        <w:trPr>
          <w:trHeight w:val="238" w:hRule="atLeast"/>
          <w:jc w:val="center"/>
        </w:trPr>
        <w:tc>
          <w:tcPr>
            <w:tcW w:w="1696" w:type="dxa"/>
            <w:tcBorders>
              <w:top w:val="nil"/>
              <w:left w:val="single" w:color="auto" w:sz="4" w:space="0"/>
              <w:bottom w:val="single" w:color="auto" w:sz="4" w:space="0"/>
              <w:right w:val="single" w:color="auto" w:sz="4" w:space="0"/>
            </w:tcBorders>
            <w:noWrap/>
            <w:vAlign w:val="center"/>
          </w:tcPr>
          <w:p>
            <w:pPr>
              <w:pStyle w:val="5"/>
              <w:spacing w:before="0" w:beforeAutospacing="0" w:after="0" w:afterAutospacing="0"/>
              <w:ind w:firstLine="360" w:firstLineChars="200"/>
              <w:rPr>
                <w:color w:val="auto"/>
                <w:sz w:val="18"/>
                <w:szCs w:val="18"/>
                <w:highlight w:val="none"/>
              </w:rPr>
            </w:pPr>
            <w:r>
              <w:rPr>
                <w:rFonts w:hint="eastAsia"/>
                <w:color w:val="auto"/>
                <w:sz w:val="18"/>
                <w:szCs w:val="18"/>
                <w:highlight w:val="none"/>
              </w:rPr>
              <w:t>　</w:t>
            </w:r>
          </w:p>
        </w:tc>
        <w:tc>
          <w:tcPr>
            <w:tcW w:w="856" w:type="dxa"/>
            <w:tcBorders>
              <w:top w:val="nil"/>
              <w:left w:val="nil"/>
              <w:bottom w:val="single" w:color="auto" w:sz="4" w:space="0"/>
              <w:right w:val="single" w:color="auto" w:sz="4" w:space="0"/>
            </w:tcBorders>
            <w:noWrap/>
            <w:vAlign w:val="center"/>
          </w:tcPr>
          <w:p>
            <w:pPr>
              <w:pStyle w:val="5"/>
              <w:spacing w:before="0" w:beforeAutospacing="0" w:after="0" w:afterAutospacing="0"/>
              <w:rPr>
                <w:color w:val="auto"/>
                <w:sz w:val="18"/>
                <w:szCs w:val="18"/>
                <w:highlight w:val="none"/>
              </w:rPr>
            </w:pPr>
            <w:r>
              <w:rPr>
                <w:rFonts w:hint="eastAsia"/>
                <w:color w:val="auto"/>
                <w:sz w:val="18"/>
                <w:szCs w:val="18"/>
                <w:highlight w:val="none"/>
              </w:rPr>
              <w:t>497031</w:t>
            </w:r>
          </w:p>
        </w:tc>
        <w:tc>
          <w:tcPr>
            <w:tcW w:w="1047" w:type="dxa"/>
            <w:tcBorders>
              <w:top w:val="nil"/>
              <w:left w:val="nil"/>
              <w:bottom w:val="single" w:color="auto" w:sz="4" w:space="0"/>
              <w:right w:val="single" w:color="auto" w:sz="4" w:space="0"/>
            </w:tcBorders>
            <w:noWrap/>
            <w:vAlign w:val="center"/>
          </w:tcPr>
          <w:p>
            <w:pPr>
              <w:pStyle w:val="5"/>
              <w:spacing w:before="0" w:beforeAutospacing="0" w:after="0" w:afterAutospacing="0"/>
              <w:ind w:firstLine="360" w:firstLineChars="200"/>
              <w:rPr>
                <w:color w:val="auto"/>
                <w:sz w:val="18"/>
                <w:szCs w:val="18"/>
                <w:highlight w:val="none"/>
              </w:rPr>
            </w:pPr>
            <w:r>
              <w:rPr>
                <w:rFonts w:hint="eastAsia"/>
                <w:color w:val="auto"/>
                <w:sz w:val="18"/>
                <w:szCs w:val="18"/>
                <w:highlight w:val="none"/>
              </w:rPr>
              <w:t>23485</w:t>
            </w:r>
          </w:p>
        </w:tc>
        <w:tc>
          <w:tcPr>
            <w:tcW w:w="1306" w:type="dxa"/>
            <w:tcBorders>
              <w:top w:val="nil"/>
              <w:left w:val="nil"/>
              <w:bottom w:val="single" w:color="auto" w:sz="4" w:space="0"/>
              <w:right w:val="single" w:color="auto" w:sz="4" w:space="0"/>
            </w:tcBorders>
            <w:noWrap/>
            <w:vAlign w:val="center"/>
          </w:tcPr>
          <w:p>
            <w:pPr>
              <w:pStyle w:val="5"/>
              <w:spacing w:before="0" w:beforeAutospacing="0" w:after="0" w:afterAutospacing="0"/>
              <w:ind w:firstLine="360" w:firstLineChars="200"/>
              <w:rPr>
                <w:color w:val="auto"/>
                <w:sz w:val="18"/>
                <w:szCs w:val="18"/>
                <w:highlight w:val="none"/>
              </w:rPr>
            </w:pPr>
            <w:r>
              <w:rPr>
                <w:rFonts w:hint="eastAsia"/>
                <w:color w:val="auto"/>
                <w:sz w:val="18"/>
                <w:szCs w:val="18"/>
                <w:highlight w:val="none"/>
              </w:rPr>
              <w:t>339781</w:t>
            </w:r>
          </w:p>
        </w:tc>
        <w:tc>
          <w:tcPr>
            <w:tcW w:w="1101" w:type="dxa"/>
            <w:tcBorders>
              <w:top w:val="nil"/>
              <w:left w:val="nil"/>
              <w:bottom w:val="single" w:color="auto" w:sz="4" w:space="0"/>
              <w:right w:val="single" w:color="auto" w:sz="4" w:space="0"/>
            </w:tcBorders>
            <w:noWrap/>
            <w:vAlign w:val="center"/>
          </w:tcPr>
          <w:p>
            <w:pPr>
              <w:pStyle w:val="5"/>
              <w:spacing w:before="0" w:beforeAutospacing="0" w:after="0" w:afterAutospacing="0"/>
              <w:ind w:firstLine="360" w:firstLineChars="200"/>
              <w:rPr>
                <w:color w:val="auto"/>
                <w:sz w:val="18"/>
                <w:szCs w:val="18"/>
                <w:highlight w:val="none"/>
              </w:rPr>
            </w:pPr>
            <w:r>
              <w:rPr>
                <w:rFonts w:hint="eastAsia"/>
                <w:color w:val="auto"/>
                <w:sz w:val="18"/>
                <w:szCs w:val="18"/>
                <w:highlight w:val="none"/>
              </w:rPr>
              <w:t>23513</w:t>
            </w:r>
          </w:p>
        </w:tc>
        <w:tc>
          <w:tcPr>
            <w:tcW w:w="1437" w:type="dxa"/>
            <w:tcBorders>
              <w:top w:val="nil"/>
              <w:left w:val="nil"/>
              <w:bottom w:val="single" w:color="auto" w:sz="4" w:space="0"/>
              <w:right w:val="single" w:color="auto" w:sz="4" w:space="0"/>
            </w:tcBorders>
            <w:noWrap/>
            <w:vAlign w:val="center"/>
          </w:tcPr>
          <w:p>
            <w:pPr>
              <w:pStyle w:val="5"/>
              <w:spacing w:before="0" w:beforeAutospacing="0" w:after="0" w:afterAutospacing="0"/>
              <w:ind w:firstLine="360" w:firstLineChars="200"/>
              <w:rPr>
                <w:color w:val="auto"/>
                <w:sz w:val="18"/>
                <w:szCs w:val="18"/>
                <w:highlight w:val="none"/>
              </w:rPr>
            </w:pPr>
            <w:r>
              <w:rPr>
                <w:rFonts w:hint="eastAsia"/>
                <w:color w:val="auto"/>
                <w:sz w:val="18"/>
                <w:szCs w:val="18"/>
                <w:highlight w:val="none"/>
              </w:rPr>
              <w:t>16409</w:t>
            </w:r>
          </w:p>
        </w:tc>
        <w:tc>
          <w:tcPr>
            <w:tcW w:w="1493" w:type="dxa"/>
            <w:tcBorders>
              <w:top w:val="nil"/>
              <w:left w:val="nil"/>
              <w:bottom w:val="single" w:color="auto" w:sz="4" w:space="0"/>
              <w:right w:val="single" w:color="auto" w:sz="4" w:space="0"/>
            </w:tcBorders>
            <w:noWrap/>
            <w:vAlign w:val="center"/>
          </w:tcPr>
          <w:p>
            <w:pPr>
              <w:pStyle w:val="5"/>
              <w:spacing w:before="0" w:beforeAutospacing="0" w:after="0" w:afterAutospacing="0"/>
              <w:ind w:firstLine="360" w:firstLineChars="200"/>
              <w:rPr>
                <w:color w:val="auto"/>
                <w:sz w:val="18"/>
                <w:szCs w:val="18"/>
                <w:highlight w:val="none"/>
              </w:rPr>
            </w:pPr>
            <w:r>
              <w:rPr>
                <w:rFonts w:hint="eastAsia"/>
                <w:color w:val="auto"/>
                <w:sz w:val="18"/>
                <w:szCs w:val="18"/>
                <w:highlight w:val="none"/>
              </w:rPr>
              <w:t>17229</w:t>
            </w:r>
          </w:p>
        </w:tc>
      </w:tr>
    </w:tbl>
    <w:p>
      <w:pPr>
        <w:spacing w:before="156" w:beforeLines="50" w:after="156" w:afterLines="50" w:line="440" w:lineRule="exact"/>
        <w:ind w:firstLine="480" w:firstLineChars="200"/>
        <w:outlineLvl w:val="0"/>
        <w:rPr>
          <w:rFonts w:hAnsi="宋体" w:eastAsia="宋体"/>
          <w:color w:val="auto"/>
          <w:sz w:val="24"/>
          <w:highlight w:val="none"/>
        </w:rPr>
      </w:pPr>
      <w:r>
        <w:rPr>
          <w:rFonts w:hint="eastAsia" w:hAnsi="宋体" w:eastAsia="宋体"/>
          <w:color w:val="auto"/>
          <w:sz w:val="24"/>
          <w:highlight w:val="none"/>
        </w:rPr>
        <w:t>（1）本项目开发出以QT700-10、QT900-5为代表的新型高强度高塑性铸铁材料，是对目前传统国标材料的补充，填补了材料空白，为机械零件设计提供了新的选择，解决了在高强度高塑性场合只能选用铸钢或者锻钢的局限；</w:t>
      </w:r>
    </w:p>
    <w:p>
      <w:pPr>
        <w:spacing w:before="156" w:beforeLines="50" w:after="156" w:afterLines="50" w:line="440" w:lineRule="exact"/>
        <w:ind w:firstLine="480" w:firstLineChars="200"/>
        <w:outlineLvl w:val="0"/>
        <w:rPr>
          <w:rFonts w:hAnsi="宋体" w:eastAsia="宋体"/>
          <w:color w:val="auto"/>
          <w:sz w:val="24"/>
          <w:highlight w:val="none"/>
        </w:rPr>
      </w:pPr>
      <w:r>
        <w:rPr>
          <w:rFonts w:hint="eastAsia" w:hAnsi="宋体" w:eastAsia="宋体"/>
          <w:color w:val="auto"/>
          <w:sz w:val="24"/>
          <w:highlight w:val="none"/>
        </w:rPr>
        <w:t>（2）高性能的铸铁材料选用，可以发挥铸铁工艺性好，成本低，重量轻的优势，降低零件成本，降低零件重量，节约社会材料资源有着重要意义；2017-2019年为整车厂节约材料支出1.72亿元，为社会节约金属材料资源1.64亿吨；</w:t>
      </w:r>
    </w:p>
    <w:p>
      <w:pPr>
        <w:spacing w:before="156" w:beforeLines="50" w:after="156" w:afterLines="50" w:line="440" w:lineRule="exact"/>
        <w:ind w:firstLine="480" w:firstLineChars="200"/>
        <w:outlineLvl w:val="0"/>
        <w:rPr>
          <w:rFonts w:hAnsi="宋体" w:eastAsia="宋体"/>
          <w:color w:val="auto"/>
          <w:sz w:val="24"/>
          <w:highlight w:val="none"/>
        </w:rPr>
      </w:pPr>
      <w:r>
        <w:rPr>
          <w:rFonts w:hint="eastAsia" w:hAnsi="宋体" w:eastAsia="宋体"/>
          <w:color w:val="auto"/>
          <w:sz w:val="24"/>
          <w:highlight w:val="none"/>
        </w:rPr>
        <w:t>（3）本项目开发出的新型材料QT700-10、QT900-5，均领先于国内外相关Q</w:t>
      </w:r>
      <w:r>
        <w:rPr>
          <w:rFonts w:hAnsi="宋体" w:eastAsia="宋体"/>
          <w:color w:val="auto"/>
          <w:sz w:val="24"/>
          <w:highlight w:val="none"/>
        </w:rPr>
        <w:t>T500-7/QT600-3</w:t>
      </w:r>
      <w:r>
        <w:rPr>
          <w:rFonts w:hint="eastAsia" w:hAnsi="宋体" w:eastAsia="宋体"/>
          <w:color w:val="auto"/>
          <w:sz w:val="24"/>
          <w:highlight w:val="none"/>
        </w:rPr>
        <w:t>同类产品，牌号性能提升，产品重量下降，推动了国内相关行业的技术进步，对我国制造业进步具有重要意义；</w:t>
      </w:r>
    </w:p>
    <w:p>
      <w:pPr>
        <w:spacing w:before="156" w:beforeLines="50" w:after="156" w:afterLines="50" w:line="440" w:lineRule="exact"/>
        <w:ind w:firstLine="480" w:firstLineChars="200"/>
        <w:outlineLvl w:val="0"/>
        <w:rPr>
          <w:rFonts w:hAnsi="宋体" w:eastAsia="宋体"/>
          <w:color w:val="auto"/>
          <w:sz w:val="24"/>
          <w:highlight w:val="none"/>
        </w:rPr>
      </w:pPr>
      <w:r>
        <w:rPr>
          <w:rFonts w:hint="eastAsia" w:hAnsi="宋体" w:eastAsia="宋体"/>
          <w:color w:val="auto"/>
          <w:sz w:val="24"/>
          <w:highlight w:val="none"/>
        </w:rPr>
        <w:t>（4）项目的选题从实际应用出发，来解决实际问题，且获得了广泛的应用，为顾客节约了成本，为社会节约了材料和能耗，提升了国产装备的竞争力。</w:t>
      </w:r>
    </w:p>
    <w:p>
      <w:pPr>
        <w:spacing w:before="156" w:beforeLines="50" w:after="156" w:afterLines="50" w:line="440" w:lineRule="exact"/>
        <w:ind w:firstLine="480" w:firstLineChars="200"/>
        <w:rPr>
          <w:rFonts w:ascii="黑体" w:hAnsi="宋体" w:eastAsia="黑体"/>
          <w:color w:val="auto"/>
          <w:sz w:val="24"/>
          <w:szCs w:val="24"/>
          <w:highlight w:val="none"/>
        </w:rPr>
      </w:pPr>
      <w:r>
        <w:rPr>
          <w:rFonts w:hint="eastAsia" w:ascii="黑体" w:hAnsi="宋体" w:eastAsia="黑体"/>
          <w:color w:val="auto"/>
          <w:sz w:val="24"/>
          <w:szCs w:val="24"/>
          <w:highlight w:val="none"/>
        </w:rPr>
        <w:t>5）新旧标准的对比分析（适用于修订标准）</w:t>
      </w:r>
    </w:p>
    <w:p>
      <w:pPr>
        <w:spacing w:before="156" w:beforeLines="50" w:after="156" w:afterLines="50" w:line="440" w:lineRule="exact"/>
        <w:ind w:firstLine="480" w:firstLineChars="200"/>
        <w:rPr>
          <w:rFonts w:ascii="黑体" w:hAnsi="宋体" w:eastAsia="黑体"/>
          <w:color w:val="auto"/>
          <w:sz w:val="24"/>
          <w:szCs w:val="24"/>
          <w:highlight w:val="none"/>
        </w:rPr>
      </w:pPr>
      <w:r>
        <w:rPr>
          <w:rFonts w:hint="eastAsia" w:ascii="黑体" w:hAnsi="宋体" w:eastAsia="黑体"/>
          <w:color w:val="auto"/>
          <w:sz w:val="24"/>
          <w:szCs w:val="24"/>
          <w:highlight w:val="none"/>
        </w:rPr>
        <w:t>无。</w:t>
      </w:r>
    </w:p>
    <w:p>
      <w:pPr>
        <w:spacing w:before="156" w:beforeLines="50" w:after="156" w:afterLines="50" w:line="440" w:lineRule="exact"/>
        <w:ind w:firstLine="482" w:firstLineChars="200"/>
        <w:rPr>
          <w:rFonts w:ascii="黑体" w:hAnsi="宋体" w:eastAsia="黑体"/>
          <w:b/>
          <w:color w:val="auto"/>
          <w:sz w:val="24"/>
          <w:szCs w:val="24"/>
          <w:highlight w:val="none"/>
        </w:rPr>
      </w:pPr>
      <w:r>
        <w:rPr>
          <w:rFonts w:hint="eastAsia" w:ascii="黑体" w:hAnsi="宋体" w:eastAsia="黑体"/>
          <w:b/>
          <w:color w:val="auto"/>
          <w:sz w:val="24"/>
          <w:szCs w:val="24"/>
          <w:highlight w:val="none"/>
        </w:rPr>
        <w:t>7.与现行相关法律、法规、规章及相关标准，特别是强制性标准的协调性</w:t>
      </w:r>
    </w:p>
    <w:p>
      <w:pPr>
        <w:spacing w:line="320" w:lineRule="exact"/>
        <w:ind w:firstLine="480" w:firstLineChars="200"/>
        <w:rPr>
          <w:rFonts w:ascii="黑体" w:hAnsi="宋体" w:eastAsia="黑体"/>
          <w:color w:val="auto"/>
          <w:sz w:val="24"/>
          <w:szCs w:val="24"/>
          <w:highlight w:val="none"/>
        </w:rPr>
      </w:pPr>
      <w:r>
        <w:rPr>
          <w:rFonts w:ascii="黑体" w:hAnsi="宋体" w:eastAsia="黑体"/>
          <w:color w:val="auto"/>
          <w:sz w:val="24"/>
          <w:szCs w:val="24"/>
          <w:highlight w:val="none"/>
        </w:rPr>
        <w:t>无。</w:t>
      </w:r>
    </w:p>
    <w:p>
      <w:pPr>
        <w:spacing w:line="320" w:lineRule="exact"/>
        <w:ind w:firstLine="482" w:firstLineChars="200"/>
        <w:rPr>
          <w:rFonts w:ascii="黑体" w:hAnsi="宋体" w:eastAsia="黑体"/>
          <w:b/>
          <w:color w:val="auto"/>
          <w:sz w:val="24"/>
          <w:szCs w:val="24"/>
          <w:highlight w:val="none"/>
        </w:rPr>
      </w:pPr>
      <w:r>
        <w:rPr>
          <w:rFonts w:hint="eastAsia" w:ascii="黑体" w:hAnsi="宋体" w:eastAsia="黑体"/>
          <w:b/>
          <w:color w:val="auto"/>
          <w:sz w:val="24"/>
          <w:szCs w:val="24"/>
          <w:highlight w:val="none"/>
        </w:rPr>
        <w:t>8.对重大分歧意见的处理经过和依据（</w:t>
      </w:r>
      <w:r>
        <w:rPr>
          <w:rFonts w:hint="eastAsia" w:ascii="黑体" w:hAnsi="黑体" w:eastAsia="黑体"/>
          <w:i/>
          <w:color w:val="auto"/>
          <w:sz w:val="24"/>
          <w:szCs w:val="24"/>
          <w:highlight w:val="none"/>
        </w:rPr>
        <w:t>如有书面处理报告等，应将其扫描件作为附件附后</w:t>
      </w:r>
      <w:r>
        <w:rPr>
          <w:rFonts w:hint="eastAsia" w:ascii="黑体" w:hAnsi="宋体" w:eastAsia="黑体"/>
          <w:b/>
          <w:color w:val="auto"/>
          <w:sz w:val="24"/>
          <w:szCs w:val="24"/>
          <w:highlight w:val="none"/>
        </w:rPr>
        <w:t>）</w:t>
      </w:r>
    </w:p>
    <w:p>
      <w:pPr>
        <w:spacing w:before="156" w:beforeLines="50" w:after="156" w:afterLines="50" w:line="440" w:lineRule="exact"/>
        <w:ind w:firstLine="480" w:firstLineChars="200"/>
        <w:rPr>
          <w:rFonts w:ascii="黑体" w:hAnsi="宋体" w:eastAsia="黑体"/>
          <w:color w:val="auto"/>
          <w:sz w:val="24"/>
          <w:szCs w:val="24"/>
          <w:highlight w:val="none"/>
        </w:rPr>
      </w:pPr>
      <w:r>
        <w:rPr>
          <w:rFonts w:ascii="黑体" w:hAnsi="宋体" w:eastAsia="黑体"/>
          <w:color w:val="auto"/>
          <w:sz w:val="24"/>
          <w:szCs w:val="24"/>
          <w:highlight w:val="none"/>
        </w:rPr>
        <w:t>无。</w:t>
      </w:r>
    </w:p>
    <w:p>
      <w:pPr>
        <w:spacing w:before="156" w:beforeLines="50" w:after="156" w:afterLines="50" w:line="440" w:lineRule="exact"/>
        <w:ind w:firstLine="482" w:firstLineChars="200"/>
        <w:rPr>
          <w:rFonts w:ascii="黑体" w:hAnsi="宋体" w:eastAsia="黑体"/>
          <w:b/>
          <w:color w:val="auto"/>
          <w:sz w:val="24"/>
          <w:szCs w:val="24"/>
          <w:highlight w:val="none"/>
        </w:rPr>
      </w:pPr>
      <w:r>
        <w:rPr>
          <w:rFonts w:hint="eastAsia" w:ascii="黑体" w:hAnsi="宋体" w:eastAsia="黑体"/>
          <w:b/>
          <w:color w:val="auto"/>
          <w:sz w:val="24"/>
          <w:szCs w:val="24"/>
          <w:highlight w:val="none"/>
        </w:rPr>
        <w:t>9.贯彻标准的要求和措施建议（包括组织措施、技术措施、过渡办法等内容），根据国家经济、技术政策需要和该标准涉及的产品的技术改造难度等因素提出标准的实施日期的建议</w:t>
      </w:r>
    </w:p>
    <w:p>
      <w:pPr>
        <w:spacing w:before="156" w:beforeLines="50" w:after="156" w:afterLines="50" w:line="440" w:lineRule="exact"/>
        <w:ind w:firstLine="480" w:firstLineChars="200"/>
        <w:rPr>
          <w:rFonts w:ascii="黑体" w:hAnsi="宋体" w:eastAsia="黑体"/>
          <w:color w:val="auto"/>
          <w:sz w:val="24"/>
          <w:szCs w:val="24"/>
          <w:highlight w:val="none"/>
        </w:rPr>
      </w:pPr>
      <w:r>
        <w:rPr>
          <w:rFonts w:hint="eastAsia" w:ascii="黑体" w:hAnsi="宋体" w:eastAsia="黑体"/>
          <w:color w:val="auto"/>
          <w:sz w:val="24"/>
          <w:szCs w:val="24"/>
          <w:highlight w:val="none"/>
        </w:rPr>
        <w:t>1）贯彻标准的要求和措施建议（包括组织措施、技术措施、过渡办法等内容）</w:t>
      </w:r>
    </w:p>
    <w:p>
      <w:pPr>
        <w:spacing w:before="156" w:beforeLines="50" w:after="156" w:afterLines="50" w:line="440" w:lineRule="exact"/>
        <w:ind w:firstLine="480" w:firstLineChars="200"/>
        <w:outlineLvl w:val="0"/>
        <w:rPr>
          <w:rFonts w:ascii="黑体" w:hAnsi="宋体" w:eastAsia="黑体"/>
          <w:color w:val="auto"/>
          <w:sz w:val="24"/>
          <w:szCs w:val="24"/>
          <w:highlight w:val="none"/>
        </w:rPr>
      </w:pPr>
      <w:r>
        <w:rPr>
          <w:rFonts w:hint="eastAsia" w:hAnsi="宋体" w:eastAsia="宋体"/>
          <w:color w:val="auto"/>
          <w:sz w:val="24"/>
          <w:highlight w:val="none"/>
        </w:rPr>
        <w:t>首先应在实施前保证文本的充足供应，让本标准的相关方及时得到文本；发布后、实施前建议将本标准的相关信息在媒体上广为宣传；建议对标准的相关方有针对性的进行培训。</w:t>
      </w:r>
    </w:p>
    <w:p>
      <w:pPr>
        <w:spacing w:before="156" w:beforeLines="50" w:after="156" w:afterLines="50" w:line="440" w:lineRule="exact"/>
        <w:ind w:firstLine="480" w:firstLineChars="200"/>
        <w:rPr>
          <w:rFonts w:ascii="黑体" w:hAnsi="宋体" w:eastAsia="黑体"/>
          <w:color w:val="auto"/>
          <w:sz w:val="24"/>
          <w:szCs w:val="24"/>
          <w:highlight w:val="none"/>
        </w:rPr>
      </w:pPr>
      <w:r>
        <w:rPr>
          <w:rFonts w:hint="eastAsia" w:ascii="黑体" w:hAnsi="宋体" w:eastAsia="黑体"/>
          <w:color w:val="auto"/>
          <w:sz w:val="24"/>
          <w:szCs w:val="24"/>
          <w:highlight w:val="none"/>
        </w:rPr>
        <w:t>2）标准的实施日期的建议（根据国家经济、技术政策需要和该标准涉及的产品的技术改造难度等综合因素提出）</w:t>
      </w:r>
    </w:p>
    <w:p>
      <w:pPr>
        <w:spacing w:before="156" w:beforeLines="50" w:after="156" w:afterLines="50" w:line="440" w:lineRule="exact"/>
        <w:ind w:firstLine="480" w:firstLineChars="200"/>
        <w:rPr>
          <w:rFonts w:ascii="黑体" w:hAnsi="宋体" w:eastAsia="黑体"/>
          <w:color w:val="auto"/>
          <w:sz w:val="24"/>
          <w:szCs w:val="24"/>
          <w:highlight w:val="none"/>
        </w:rPr>
      </w:pPr>
      <w:r>
        <w:rPr>
          <w:rFonts w:hint="eastAsia" w:hAnsi="宋体" w:eastAsia="宋体"/>
          <w:color w:val="auto"/>
          <w:sz w:val="24"/>
          <w:highlight w:val="none"/>
        </w:rPr>
        <w:t>实施的过渡期宜定为6个月；建议质量检查监督部门加强对该标准的执行情况进行监测</w:t>
      </w:r>
    </w:p>
    <w:p>
      <w:pPr>
        <w:spacing w:before="156" w:beforeLines="50" w:after="156" w:afterLines="50" w:line="440" w:lineRule="exact"/>
        <w:ind w:firstLine="482" w:firstLineChars="200"/>
        <w:rPr>
          <w:rFonts w:ascii="黑体" w:hAnsi="宋体" w:eastAsia="黑体"/>
          <w:b/>
          <w:color w:val="auto"/>
          <w:sz w:val="24"/>
          <w:szCs w:val="24"/>
          <w:highlight w:val="none"/>
        </w:rPr>
      </w:pPr>
      <w:r>
        <w:rPr>
          <w:rFonts w:hint="eastAsia" w:ascii="黑体" w:hAnsi="宋体" w:eastAsia="黑体"/>
          <w:b/>
          <w:color w:val="auto"/>
          <w:sz w:val="24"/>
          <w:szCs w:val="24"/>
          <w:highlight w:val="none"/>
        </w:rPr>
        <w:t>10.废止有关标准的建议</w:t>
      </w:r>
    </w:p>
    <w:p>
      <w:pPr>
        <w:spacing w:before="156" w:beforeLines="50" w:after="156" w:afterLines="50" w:line="440" w:lineRule="exact"/>
        <w:ind w:firstLine="480" w:firstLineChars="200"/>
        <w:rPr>
          <w:rFonts w:ascii="黑体" w:hAnsi="宋体" w:eastAsia="黑体"/>
          <w:color w:val="auto"/>
          <w:sz w:val="24"/>
          <w:szCs w:val="24"/>
          <w:highlight w:val="none"/>
        </w:rPr>
      </w:pPr>
      <w:r>
        <w:rPr>
          <w:rFonts w:hint="eastAsia" w:ascii="黑体" w:hAnsi="宋体" w:eastAsia="黑体"/>
          <w:color w:val="auto"/>
          <w:sz w:val="24"/>
          <w:szCs w:val="24"/>
          <w:highlight w:val="none"/>
        </w:rPr>
        <w:t>无。</w:t>
      </w:r>
      <w:r>
        <w:rPr>
          <w:rFonts w:hint="eastAsia" w:ascii="黑体" w:hAnsi="宋体" w:eastAsia="黑体"/>
          <w:color w:val="auto"/>
          <w:sz w:val="24"/>
          <w:szCs w:val="24"/>
          <w:highlight w:val="none"/>
        </w:rPr>
        <w:br w:type="textWrapping"/>
      </w:r>
      <w:r>
        <w:rPr>
          <w:rFonts w:ascii="黑体" w:hAnsi="宋体" w:eastAsia="黑体"/>
          <w:color w:val="auto"/>
          <w:sz w:val="24"/>
          <w:szCs w:val="24"/>
          <w:highlight w:val="none"/>
        </w:rPr>
        <w:t xml:space="preserve">    </w:t>
      </w:r>
      <w:r>
        <w:rPr>
          <w:rFonts w:hint="eastAsia" w:ascii="黑体" w:hAnsi="宋体" w:eastAsia="黑体"/>
          <w:b/>
          <w:color w:val="auto"/>
          <w:sz w:val="24"/>
          <w:szCs w:val="24"/>
          <w:highlight w:val="none"/>
        </w:rPr>
        <w:t>11.标准涉及专利情况说明</w:t>
      </w:r>
      <w:r>
        <w:rPr>
          <w:rFonts w:hint="eastAsia" w:ascii="黑体" w:hAnsi="宋体" w:eastAsia="黑体"/>
          <w:color w:val="auto"/>
          <w:sz w:val="24"/>
          <w:szCs w:val="24"/>
          <w:highlight w:val="none"/>
        </w:rPr>
        <w:t>（包括1、专利发布日期、专利编号、专利权人；2、专利处置情况；3、专利使用许可申明和披露申明。详细请按照GB/T 20003.1 《标准制定的特殊程序 第1部分：涉及专利的标准》执行）</w:t>
      </w:r>
    </w:p>
    <w:p>
      <w:pPr>
        <w:spacing w:before="156" w:beforeLines="50" w:after="156" w:afterLines="50" w:line="440" w:lineRule="exact"/>
        <w:ind w:firstLine="480" w:firstLineChars="200"/>
        <w:rPr>
          <w:rFonts w:hAnsi="宋体" w:eastAsia="宋体"/>
          <w:color w:val="auto"/>
          <w:sz w:val="24"/>
          <w:highlight w:val="none"/>
        </w:rPr>
      </w:pPr>
      <w:r>
        <w:rPr>
          <w:rFonts w:hint="eastAsia" w:hAnsi="宋体" w:eastAsia="宋体"/>
          <w:color w:val="auto"/>
          <w:sz w:val="24"/>
          <w:highlight w:val="none"/>
        </w:rPr>
        <w:t>本标准不涉及专利。</w:t>
      </w:r>
    </w:p>
    <w:p>
      <w:pPr>
        <w:spacing w:before="156" w:beforeLines="50" w:after="156" w:afterLines="50" w:line="440" w:lineRule="exact"/>
        <w:ind w:firstLine="482" w:firstLineChars="200"/>
        <w:rPr>
          <w:rFonts w:ascii="华文隶书" w:hAnsi="楷体" w:eastAsia="华文隶书"/>
          <w:color w:val="auto"/>
          <w:sz w:val="48"/>
          <w:szCs w:val="48"/>
          <w:highlight w:val="none"/>
        </w:rPr>
      </w:pPr>
      <w:r>
        <w:rPr>
          <w:rFonts w:hint="eastAsia" w:ascii="黑体" w:hAnsi="宋体" w:eastAsia="黑体"/>
          <w:b/>
          <w:color w:val="auto"/>
          <w:sz w:val="24"/>
          <w:szCs w:val="24"/>
          <w:highlight w:val="none"/>
        </w:rPr>
        <w:t>12.重要内容的解释和其它应予说明的事项（</w:t>
      </w:r>
      <w:r>
        <w:rPr>
          <w:rFonts w:hint="eastAsia" w:ascii="黑体" w:hAnsi="宋体" w:eastAsia="黑体"/>
          <w:i/>
          <w:color w:val="auto"/>
          <w:sz w:val="24"/>
          <w:szCs w:val="24"/>
          <w:highlight w:val="none"/>
        </w:rPr>
        <w:t>如存在其他必要的论述报告等，应将其扫描件作为附件附后</w:t>
      </w:r>
      <w:r>
        <w:rPr>
          <w:rFonts w:hint="eastAsia" w:ascii="黑体" w:hAnsi="宋体" w:eastAsia="黑体"/>
          <w:b/>
          <w:color w:val="auto"/>
          <w:sz w:val="24"/>
          <w:szCs w:val="24"/>
          <w:highlight w:val="none"/>
        </w:rPr>
        <w:t>）</w:t>
      </w:r>
      <w:r>
        <w:rPr>
          <w:rFonts w:hint="eastAsia" w:ascii="华文隶书" w:hAnsi="楷体" w:eastAsia="华文隶书"/>
          <w:color w:val="auto"/>
          <w:sz w:val="48"/>
          <w:szCs w:val="48"/>
          <w:highlight w:val="none"/>
        </w:rPr>
        <w:t xml:space="preserve"> </w:t>
      </w:r>
    </w:p>
    <w:p>
      <w:pPr>
        <w:spacing w:before="156" w:beforeLines="50" w:after="156" w:afterLines="50" w:line="440" w:lineRule="exact"/>
        <w:ind w:firstLine="480" w:firstLineChars="200"/>
        <w:rPr>
          <w:rFonts w:hAnsi="宋体" w:eastAsia="宋体"/>
          <w:color w:val="auto"/>
          <w:sz w:val="24"/>
          <w:highlight w:val="none"/>
        </w:rPr>
      </w:pPr>
      <w:r>
        <w:rPr>
          <w:rFonts w:hAnsi="宋体" w:eastAsia="宋体"/>
          <w:color w:val="auto"/>
          <w:sz w:val="24"/>
          <w:highlight w:val="none"/>
        </w:rPr>
        <w:t>无。</w:t>
      </w:r>
    </w:p>
    <w:p>
      <w:pPr>
        <w:spacing w:before="156" w:beforeLines="50" w:after="156" w:afterLines="50" w:line="440" w:lineRule="exact"/>
        <w:ind w:firstLine="480" w:firstLineChars="200"/>
        <w:rPr>
          <w:rFonts w:hAnsi="宋体" w:eastAsia="宋体"/>
          <w:color w:val="auto"/>
          <w:sz w:val="24"/>
          <w:highlight w:val="none"/>
        </w:rPr>
      </w:pPr>
    </w:p>
    <w:p>
      <w:pPr>
        <w:spacing w:before="156" w:beforeLines="50" w:after="156" w:afterLines="50" w:line="440" w:lineRule="exact"/>
        <w:ind w:firstLine="480" w:firstLineChars="200"/>
        <w:rPr>
          <w:rFonts w:hAnsi="宋体" w:eastAsia="宋体"/>
          <w:color w:val="auto"/>
          <w:sz w:val="24"/>
          <w:highlight w:val="none"/>
        </w:rPr>
      </w:pPr>
    </w:p>
    <w:p>
      <w:pPr>
        <w:spacing w:before="156" w:beforeLines="50" w:after="156" w:afterLines="50" w:line="440" w:lineRule="exact"/>
        <w:ind w:firstLine="480" w:firstLineChars="200"/>
        <w:jc w:val="right"/>
        <w:rPr>
          <w:rFonts w:ascii="黑体" w:hAnsi="黑体" w:eastAsia="黑体"/>
          <w:color w:val="auto"/>
          <w:sz w:val="24"/>
          <w:highlight w:val="none"/>
        </w:rPr>
      </w:pPr>
      <w:r>
        <w:rPr>
          <w:rFonts w:hint="eastAsia" w:ascii="黑体" w:hAnsi="黑体" w:eastAsia="黑体"/>
          <w:color w:val="auto"/>
          <w:sz w:val="24"/>
          <w:highlight w:val="none"/>
        </w:rPr>
        <w:t>中铸协《高强度高塑性球墨铸铁件》团体标准编制组</w:t>
      </w:r>
    </w:p>
    <w:p>
      <w:pPr>
        <w:spacing w:before="156" w:beforeLines="50" w:after="156" w:afterLines="50" w:line="440" w:lineRule="exact"/>
        <w:ind w:firstLine="6480" w:firstLineChars="2700"/>
        <w:rPr>
          <w:rFonts w:hAnsi="宋体" w:eastAsia="宋体"/>
          <w:color w:val="auto"/>
          <w:sz w:val="24"/>
          <w:highlight w:val="none"/>
        </w:rPr>
      </w:pPr>
      <w:r>
        <w:rPr>
          <w:rFonts w:hint="eastAsia" w:ascii="黑体" w:hAnsi="黑体" w:eastAsia="黑体"/>
          <w:color w:val="auto"/>
          <w:sz w:val="24"/>
          <w:highlight w:val="none"/>
        </w:rPr>
        <w:t>2</w:t>
      </w:r>
      <w:r>
        <w:rPr>
          <w:rFonts w:ascii="黑体" w:hAnsi="黑体" w:eastAsia="黑体"/>
          <w:color w:val="auto"/>
          <w:sz w:val="24"/>
          <w:highlight w:val="none"/>
        </w:rPr>
        <w:t>022.</w:t>
      </w:r>
      <w:r>
        <w:rPr>
          <w:rFonts w:hint="eastAsia" w:ascii="黑体" w:hAnsi="黑体" w:eastAsia="黑体"/>
          <w:color w:val="auto"/>
          <w:sz w:val="24"/>
          <w:highlight w:val="none"/>
        </w:rPr>
        <w:t>9</w:t>
      </w:r>
      <w:r>
        <w:rPr>
          <w:rFonts w:ascii="黑体" w:hAnsi="黑体" w:eastAsia="黑体"/>
          <w:color w:val="auto"/>
          <w:sz w:val="24"/>
          <w:highlight w:val="none"/>
        </w:rPr>
        <w:t>.30</w:t>
      </w:r>
    </w:p>
    <w:sectPr>
      <w:footerReference r:id="rId3" w:type="default"/>
      <w:pgSz w:w="11906" w:h="16838"/>
      <w:pgMar w:top="1134" w:right="1134" w:bottom="1134"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EFF" w:usb1="C000785B" w:usb2="00000009" w:usb3="00000000" w:csb0="400001FF" w:csb1="FFFF0000"/>
  </w:font>
  <w:font w:name="华文隶书">
    <w:panose1 w:val="02010800040101010101"/>
    <w:charset w:val="86"/>
    <w:family w:val="auto"/>
    <w:pitch w:val="default"/>
    <w:sig w:usb0="00000001" w:usb1="080F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6</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17</w:t>
    </w:r>
    <w:r>
      <w:rPr>
        <w:b/>
        <w:bCs/>
        <w:sz w:val="24"/>
        <w:szCs w:val="24"/>
      </w:rP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77E00B6"/>
    <w:multiLevelType w:val="singleLevel"/>
    <w:tmpl w:val="977E00B6"/>
    <w:lvl w:ilvl="0" w:tentative="0">
      <w:start w:val="3"/>
      <w:numFmt w:val="decimal"/>
      <w:suff w:val="nothing"/>
      <w:lvlText w:val="（%1）"/>
      <w:lvlJc w:val="left"/>
    </w:lvl>
  </w:abstractNum>
  <w:abstractNum w:abstractNumId="1">
    <w:nsid w:val="1DBF583A"/>
    <w:multiLevelType w:val="multilevel"/>
    <w:tmpl w:val="1DBF583A"/>
    <w:lvl w:ilvl="0" w:tentative="0">
      <w:start w:val="1"/>
      <w:numFmt w:val="decimal"/>
      <w:pStyle w:val="21"/>
      <w:suff w:val="nothing"/>
      <w:lvlText w:val="注%1："/>
      <w:lvlJc w:val="left"/>
      <w:pPr>
        <w:ind w:left="811" w:hanging="448"/>
      </w:pPr>
      <w:rPr>
        <w:rFonts w:hint="eastAsia" w:ascii="黑体" w:eastAsia="黑体" w:cs="Times New Roman"/>
        <w:b w:val="0"/>
        <w:i w:val="0"/>
        <w:sz w:val="18"/>
        <w:szCs w:val="18"/>
      </w:rPr>
    </w:lvl>
    <w:lvl w:ilvl="1" w:tentative="0">
      <w:start w:val="1"/>
      <w:numFmt w:val="lowerLetter"/>
      <w:lvlText w:val="%2)"/>
      <w:lvlJc w:val="left"/>
      <w:pPr>
        <w:tabs>
          <w:tab w:val="left" w:pos="180"/>
        </w:tabs>
        <w:ind w:left="1172" w:hanging="629"/>
      </w:pPr>
      <w:rPr>
        <w:rFonts w:hint="eastAsia" w:cs="Times New Roman"/>
      </w:rPr>
    </w:lvl>
    <w:lvl w:ilvl="2" w:tentative="0">
      <w:start w:val="1"/>
      <w:numFmt w:val="lowerRoman"/>
      <w:lvlText w:val="%3."/>
      <w:lvlJc w:val="right"/>
      <w:pPr>
        <w:tabs>
          <w:tab w:val="left" w:pos="180"/>
        </w:tabs>
        <w:ind w:left="1172" w:hanging="629"/>
      </w:pPr>
      <w:rPr>
        <w:rFonts w:hint="eastAsia" w:cs="Times New Roman"/>
      </w:rPr>
    </w:lvl>
    <w:lvl w:ilvl="3" w:tentative="0">
      <w:start w:val="1"/>
      <w:numFmt w:val="decimal"/>
      <w:lvlText w:val="%4."/>
      <w:lvlJc w:val="left"/>
      <w:pPr>
        <w:tabs>
          <w:tab w:val="left" w:pos="180"/>
        </w:tabs>
        <w:ind w:left="1172" w:hanging="629"/>
      </w:pPr>
      <w:rPr>
        <w:rFonts w:hint="eastAsia" w:cs="Times New Roman"/>
      </w:rPr>
    </w:lvl>
    <w:lvl w:ilvl="4" w:tentative="0">
      <w:start w:val="1"/>
      <w:numFmt w:val="lowerLetter"/>
      <w:lvlText w:val="%5)"/>
      <w:lvlJc w:val="left"/>
      <w:pPr>
        <w:tabs>
          <w:tab w:val="left" w:pos="180"/>
        </w:tabs>
        <w:ind w:left="1172" w:hanging="629"/>
      </w:pPr>
      <w:rPr>
        <w:rFonts w:hint="eastAsia" w:cs="Times New Roman"/>
      </w:rPr>
    </w:lvl>
    <w:lvl w:ilvl="5" w:tentative="0">
      <w:start w:val="1"/>
      <w:numFmt w:val="lowerRoman"/>
      <w:lvlText w:val="%6."/>
      <w:lvlJc w:val="right"/>
      <w:pPr>
        <w:tabs>
          <w:tab w:val="left" w:pos="180"/>
        </w:tabs>
        <w:ind w:left="1172" w:hanging="629"/>
      </w:pPr>
      <w:rPr>
        <w:rFonts w:hint="eastAsia" w:cs="Times New Roman"/>
      </w:rPr>
    </w:lvl>
    <w:lvl w:ilvl="6" w:tentative="0">
      <w:start w:val="1"/>
      <w:numFmt w:val="decimal"/>
      <w:lvlText w:val="%7."/>
      <w:lvlJc w:val="left"/>
      <w:pPr>
        <w:tabs>
          <w:tab w:val="left" w:pos="180"/>
        </w:tabs>
        <w:ind w:left="1172" w:hanging="629"/>
      </w:pPr>
      <w:rPr>
        <w:rFonts w:hint="eastAsia" w:cs="Times New Roman"/>
      </w:rPr>
    </w:lvl>
    <w:lvl w:ilvl="7" w:tentative="0">
      <w:start w:val="1"/>
      <w:numFmt w:val="lowerLetter"/>
      <w:lvlText w:val="%8)"/>
      <w:lvlJc w:val="left"/>
      <w:pPr>
        <w:tabs>
          <w:tab w:val="left" w:pos="180"/>
        </w:tabs>
        <w:ind w:left="1172" w:hanging="629"/>
      </w:pPr>
      <w:rPr>
        <w:rFonts w:hint="eastAsia" w:cs="Times New Roman"/>
      </w:rPr>
    </w:lvl>
    <w:lvl w:ilvl="8" w:tentative="0">
      <w:start w:val="1"/>
      <w:numFmt w:val="lowerRoman"/>
      <w:lvlText w:val="%9."/>
      <w:lvlJc w:val="right"/>
      <w:pPr>
        <w:tabs>
          <w:tab w:val="left" w:pos="180"/>
        </w:tabs>
        <w:ind w:left="1172" w:hanging="629"/>
      </w:pPr>
      <w:rPr>
        <w:rFonts w:hint="eastAsia" w:cs="Times New Roman"/>
      </w:rPr>
    </w:lvl>
  </w:abstractNum>
  <w:abstractNum w:abstractNumId="2">
    <w:nsid w:val="1FC91163"/>
    <w:multiLevelType w:val="multilevel"/>
    <w:tmpl w:val="1FC91163"/>
    <w:lvl w:ilvl="0" w:tentative="0">
      <w:start w:val="1"/>
      <w:numFmt w:val="decimal"/>
      <w:pStyle w:val="16"/>
      <w:lvlText w:val="%1."/>
      <w:lvlJc w:val="left"/>
      <w:rPr>
        <w:rFonts w:hint="default" w:ascii="Times New Roman" w:hAnsi="Times New Roman" w:cs="Times New Roman"/>
        <w:b w:val="0"/>
        <w:i w:val="0"/>
        <w:sz w:val="21"/>
        <w:szCs w:val="21"/>
      </w:rPr>
    </w:lvl>
    <w:lvl w:ilvl="1" w:tentative="0">
      <w:start w:val="1"/>
      <w:numFmt w:val="decimal"/>
      <w:pStyle w:val="13"/>
      <w:suff w:val="nothing"/>
      <w:lvlText w:val="%1.%2　"/>
      <w:lvlJc w:val="left"/>
      <w:rPr>
        <w:rFonts w:hint="eastAsia" w:ascii="黑体" w:hAnsi="Times New Roman" w:eastAsia="黑体" w:cs="Times New Roman"/>
        <w:b w:val="0"/>
        <w:bCs w:val="0"/>
        <w:i w:val="0"/>
        <w:iCs w:val="0"/>
        <w:caps w:val="0"/>
        <w:strike w:val="0"/>
        <w:dstrike w:val="0"/>
        <w:color w:val="auto"/>
        <w:spacing w:val="0"/>
        <w:kern w:val="0"/>
        <w:position w:val="0"/>
        <w:sz w:val="21"/>
        <w:szCs w:val="21"/>
        <w:u w:val="none"/>
        <w14:shadow w14:blurRad="0" w14:dist="0" w14:dir="0" w14:sx="0" w14:sy="0" w14:kx="0" w14:ky="0" w14:algn="none">
          <w14:srgbClr w14:val="000000"/>
        </w14:shadow>
      </w:rPr>
    </w:lvl>
    <w:lvl w:ilvl="2" w:tentative="0">
      <w:start w:val="1"/>
      <w:numFmt w:val="decimal"/>
      <w:pStyle w:val="15"/>
      <w:suff w:val="nothing"/>
      <w:lvlText w:val="%1.%2.%3　"/>
      <w:lvlJc w:val="left"/>
      <w:pPr>
        <w:ind w:left="426"/>
      </w:pPr>
      <w:rPr>
        <w:rFonts w:hint="eastAsia" w:ascii="黑体" w:hAnsi="Times New Roman" w:eastAsia="黑体" w:cs="Times New Roman"/>
        <w:b w:val="0"/>
        <w:i w:val="0"/>
        <w:color w:val="auto"/>
        <w:sz w:val="21"/>
      </w:rPr>
    </w:lvl>
    <w:lvl w:ilvl="3" w:tentative="0">
      <w:start w:val="1"/>
      <w:numFmt w:val="decimal"/>
      <w:suff w:val="nothing"/>
      <w:lvlText w:val="%1.%2.%3.%4　"/>
      <w:lvlJc w:val="left"/>
      <w:rPr>
        <w:rFonts w:hint="eastAsia" w:ascii="黑体" w:hAnsi="Times New Roman" w:eastAsia="黑体" w:cs="Times New Roman"/>
        <w:b w:val="0"/>
        <w:i w:val="0"/>
        <w:sz w:val="21"/>
      </w:rPr>
    </w:lvl>
    <w:lvl w:ilvl="4" w:tentative="0">
      <w:start w:val="1"/>
      <w:numFmt w:val="decimal"/>
      <w:suff w:val="nothing"/>
      <w:lvlText w:val="%1.%2.%3.%4.%5　"/>
      <w:lvlJc w:val="left"/>
      <w:rPr>
        <w:rFonts w:hint="eastAsia" w:ascii="黑体" w:hAnsi="Times New Roman" w:eastAsia="黑体" w:cs="Times New Roman"/>
        <w:b w:val="0"/>
        <w:i w:val="0"/>
        <w:sz w:val="21"/>
      </w:rPr>
    </w:lvl>
    <w:lvl w:ilvl="5" w:tentative="0">
      <w:start w:val="1"/>
      <w:numFmt w:val="decimal"/>
      <w:suff w:val="nothing"/>
      <w:lvlText w:val="%1.%2.%3.%4.%5.%6　"/>
      <w:lvlJc w:val="left"/>
      <w:rPr>
        <w:rFonts w:hint="eastAsia" w:ascii="黑体" w:hAnsi="Times New Roman" w:eastAsia="黑体" w:cs="Times New Roman"/>
        <w:b w:val="0"/>
        <w:i w:val="0"/>
        <w:sz w:val="21"/>
      </w:rPr>
    </w:lvl>
    <w:lvl w:ilvl="6" w:tentative="0">
      <w:start w:val="1"/>
      <w:numFmt w:val="decimal"/>
      <w:suff w:val="nothing"/>
      <w:lvlText w:val="%1%2.%3.%4.%5.%6.%7　"/>
      <w:lvlJc w:val="left"/>
      <w:rPr>
        <w:rFonts w:hint="eastAsia" w:ascii="黑体" w:hAnsi="Times New Roman" w:eastAsia="黑体" w:cs="Times New Roman"/>
        <w:b w:val="0"/>
        <w:i w:val="0"/>
        <w:sz w:val="21"/>
      </w:rPr>
    </w:lvl>
    <w:lvl w:ilvl="7" w:tentative="0">
      <w:start w:val="1"/>
      <w:numFmt w:val="decimal"/>
      <w:lvlText w:val="%1.%2.%3.%4.%5.%6.%7.%8"/>
      <w:lvlJc w:val="left"/>
      <w:pPr>
        <w:tabs>
          <w:tab w:val="left" w:pos="4351"/>
        </w:tabs>
        <w:ind w:left="3969" w:hanging="1418"/>
      </w:pPr>
      <w:rPr>
        <w:rFonts w:hint="eastAsia" w:cs="Times New Roman"/>
      </w:rPr>
    </w:lvl>
    <w:lvl w:ilvl="8" w:tentative="0">
      <w:start w:val="1"/>
      <w:numFmt w:val="decimal"/>
      <w:lvlText w:val="%1.%2.%3.%4.%5.%6.%7.%8.%9"/>
      <w:lvlJc w:val="left"/>
      <w:pPr>
        <w:tabs>
          <w:tab w:val="left" w:pos="4777"/>
        </w:tabs>
        <w:ind w:left="4677" w:hanging="1700"/>
      </w:pPr>
      <w:rPr>
        <w:rFonts w:hint="eastAsia"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JkY2E3ZTE1YWM4NTE1YWRmMjUwZDM3OTMwODlmYWYifQ=="/>
  </w:docVars>
  <w:rsids>
    <w:rsidRoot w:val="001863DE"/>
    <w:rsid w:val="00034358"/>
    <w:rsid w:val="000415F3"/>
    <w:rsid w:val="000432E7"/>
    <w:rsid w:val="00050E65"/>
    <w:rsid w:val="00051573"/>
    <w:rsid w:val="00076384"/>
    <w:rsid w:val="00086BF5"/>
    <w:rsid w:val="00087A05"/>
    <w:rsid w:val="00096D21"/>
    <w:rsid w:val="000B0DA8"/>
    <w:rsid w:val="000B551A"/>
    <w:rsid w:val="000B695C"/>
    <w:rsid w:val="000B6AC5"/>
    <w:rsid w:val="000C581B"/>
    <w:rsid w:val="000D1787"/>
    <w:rsid w:val="000F0EF9"/>
    <w:rsid w:val="00127416"/>
    <w:rsid w:val="00152478"/>
    <w:rsid w:val="00154522"/>
    <w:rsid w:val="00165EAF"/>
    <w:rsid w:val="00173FE2"/>
    <w:rsid w:val="00174DA5"/>
    <w:rsid w:val="001863DE"/>
    <w:rsid w:val="001A11E0"/>
    <w:rsid w:val="001D0E13"/>
    <w:rsid w:val="001E1E29"/>
    <w:rsid w:val="00215442"/>
    <w:rsid w:val="00220FA7"/>
    <w:rsid w:val="002301E5"/>
    <w:rsid w:val="00244EFD"/>
    <w:rsid w:val="00253F59"/>
    <w:rsid w:val="002642B5"/>
    <w:rsid w:val="002857BE"/>
    <w:rsid w:val="00303B43"/>
    <w:rsid w:val="003466AD"/>
    <w:rsid w:val="0036461E"/>
    <w:rsid w:val="00373440"/>
    <w:rsid w:val="00383D2A"/>
    <w:rsid w:val="00394A9C"/>
    <w:rsid w:val="0039697F"/>
    <w:rsid w:val="003A04A4"/>
    <w:rsid w:val="003C6E21"/>
    <w:rsid w:val="003D7288"/>
    <w:rsid w:val="003D7B6E"/>
    <w:rsid w:val="00410E35"/>
    <w:rsid w:val="0041670A"/>
    <w:rsid w:val="004261B3"/>
    <w:rsid w:val="00442BE6"/>
    <w:rsid w:val="00461D35"/>
    <w:rsid w:val="00467A30"/>
    <w:rsid w:val="00473095"/>
    <w:rsid w:val="004820E0"/>
    <w:rsid w:val="004841E7"/>
    <w:rsid w:val="004A1FE8"/>
    <w:rsid w:val="004B61AD"/>
    <w:rsid w:val="004C48A6"/>
    <w:rsid w:val="004D008B"/>
    <w:rsid w:val="004D12E9"/>
    <w:rsid w:val="004D3567"/>
    <w:rsid w:val="004E5C6E"/>
    <w:rsid w:val="004F6CDD"/>
    <w:rsid w:val="005042DD"/>
    <w:rsid w:val="00515D59"/>
    <w:rsid w:val="0053432B"/>
    <w:rsid w:val="00541D37"/>
    <w:rsid w:val="00544F99"/>
    <w:rsid w:val="005459FA"/>
    <w:rsid w:val="00587C3E"/>
    <w:rsid w:val="005B49BA"/>
    <w:rsid w:val="005C2E6B"/>
    <w:rsid w:val="005C48E8"/>
    <w:rsid w:val="005C6757"/>
    <w:rsid w:val="00600C8B"/>
    <w:rsid w:val="00640E1B"/>
    <w:rsid w:val="00641F98"/>
    <w:rsid w:val="00660B75"/>
    <w:rsid w:val="00670504"/>
    <w:rsid w:val="0068269D"/>
    <w:rsid w:val="006A4C7B"/>
    <w:rsid w:val="006A4FE3"/>
    <w:rsid w:val="006B240F"/>
    <w:rsid w:val="006C6E69"/>
    <w:rsid w:val="006D123D"/>
    <w:rsid w:val="006F6421"/>
    <w:rsid w:val="00702D7C"/>
    <w:rsid w:val="00720196"/>
    <w:rsid w:val="00736986"/>
    <w:rsid w:val="007527AB"/>
    <w:rsid w:val="0075540F"/>
    <w:rsid w:val="00776DB4"/>
    <w:rsid w:val="007D4E1D"/>
    <w:rsid w:val="008071F3"/>
    <w:rsid w:val="00812C81"/>
    <w:rsid w:val="008344E9"/>
    <w:rsid w:val="00845A3D"/>
    <w:rsid w:val="00846030"/>
    <w:rsid w:val="00856AC2"/>
    <w:rsid w:val="00865208"/>
    <w:rsid w:val="008873E0"/>
    <w:rsid w:val="008A0BDE"/>
    <w:rsid w:val="008B2335"/>
    <w:rsid w:val="008C3327"/>
    <w:rsid w:val="00906BBB"/>
    <w:rsid w:val="00906E37"/>
    <w:rsid w:val="0091127F"/>
    <w:rsid w:val="009253D2"/>
    <w:rsid w:val="009276AE"/>
    <w:rsid w:val="00942F48"/>
    <w:rsid w:val="00945978"/>
    <w:rsid w:val="009513FD"/>
    <w:rsid w:val="00952B23"/>
    <w:rsid w:val="00967E51"/>
    <w:rsid w:val="00981AA6"/>
    <w:rsid w:val="0099771D"/>
    <w:rsid w:val="009A7747"/>
    <w:rsid w:val="009B0EE9"/>
    <w:rsid w:val="009B5A60"/>
    <w:rsid w:val="009B6824"/>
    <w:rsid w:val="009B6EC9"/>
    <w:rsid w:val="00A053F4"/>
    <w:rsid w:val="00A56C41"/>
    <w:rsid w:val="00A660F9"/>
    <w:rsid w:val="00AB7D92"/>
    <w:rsid w:val="00AD1AA8"/>
    <w:rsid w:val="00AD2020"/>
    <w:rsid w:val="00B0664B"/>
    <w:rsid w:val="00B5365E"/>
    <w:rsid w:val="00B55FF2"/>
    <w:rsid w:val="00B77905"/>
    <w:rsid w:val="00B82428"/>
    <w:rsid w:val="00B8396A"/>
    <w:rsid w:val="00BA056A"/>
    <w:rsid w:val="00BA1A4C"/>
    <w:rsid w:val="00C1063D"/>
    <w:rsid w:val="00C11342"/>
    <w:rsid w:val="00C13A7F"/>
    <w:rsid w:val="00C15014"/>
    <w:rsid w:val="00C32A09"/>
    <w:rsid w:val="00C45014"/>
    <w:rsid w:val="00C5642E"/>
    <w:rsid w:val="00C85895"/>
    <w:rsid w:val="00C90B52"/>
    <w:rsid w:val="00C936F6"/>
    <w:rsid w:val="00CA1B10"/>
    <w:rsid w:val="00CE089B"/>
    <w:rsid w:val="00CE341B"/>
    <w:rsid w:val="00CF793D"/>
    <w:rsid w:val="00D01E88"/>
    <w:rsid w:val="00D14342"/>
    <w:rsid w:val="00D15700"/>
    <w:rsid w:val="00D308A9"/>
    <w:rsid w:val="00D35061"/>
    <w:rsid w:val="00D352F4"/>
    <w:rsid w:val="00D45D2C"/>
    <w:rsid w:val="00D5550D"/>
    <w:rsid w:val="00D9491B"/>
    <w:rsid w:val="00DA38C1"/>
    <w:rsid w:val="00DB1B8A"/>
    <w:rsid w:val="00DE3FB5"/>
    <w:rsid w:val="00DE5B94"/>
    <w:rsid w:val="00E134C9"/>
    <w:rsid w:val="00E20ED5"/>
    <w:rsid w:val="00E51F31"/>
    <w:rsid w:val="00E63615"/>
    <w:rsid w:val="00E84321"/>
    <w:rsid w:val="00E9037C"/>
    <w:rsid w:val="00E96A4E"/>
    <w:rsid w:val="00EC2F35"/>
    <w:rsid w:val="00EC5DA7"/>
    <w:rsid w:val="00EE4490"/>
    <w:rsid w:val="00EF385E"/>
    <w:rsid w:val="00F13AC3"/>
    <w:rsid w:val="00F2466A"/>
    <w:rsid w:val="00F405BC"/>
    <w:rsid w:val="00F42CC4"/>
    <w:rsid w:val="00F51F5B"/>
    <w:rsid w:val="00F52C72"/>
    <w:rsid w:val="00F76FF0"/>
    <w:rsid w:val="00FD707C"/>
    <w:rsid w:val="00FF21A9"/>
    <w:rsid w:val="00FF6B61"/>
    <w:rsid w:val="01B57178"/>
    <w:rsid w:val="02F21B13"/>
    <w:rsid w:val="03135A40"/>
    <w:rsid w:val="0319611F"/>
    <w:rsid w:val="03A82158"/>
    <w:rsid w:val="03E81373"/>
    <w:rsid w:val="04F96FF0"/>
    <w:rsid w:val="050B2EC0"/>
    <w:rsid w:val="056F1B6F"/>
    <w:rsid w:val="05AD14AE"/>
    <w:rsid w:val="05C109E9"/>
    <w:rsid w:val="06765CEE"/>
    <w:rsid w:val="069E0F09"/>
    <w:rsid w:val="07DC00A9"/>
    <w:rsid w:val="08803584"/>
    <w:rsid w:val="089C6D14"/>
    <w:rsid w:val="092F4254"/>
    <w:rsid w:val="0EB34DA1"/>
    <w:rsid w:val="0ECD1405"/>
    <w:rsid w:val="13452DDE"/>
    <w:rsid w:val="1375627C"/>
    <w:rsid w:val="13F01345"/>
    <w:rsid w:val="1442760C"/>
    <w:rsid w:val="14795146"/>
    <w:rsid w:val="147F5F4E"/>
    <w:rsid w:val="15DD3DC4"/>
    <w:rsid w:val="16BF42C7"/>
    <w:rsid w:val="16EB4DAC"/>
    <w:rsid w:val="18103EA4"/>
    <w:rsid w:val="18B51788"/>
    <w:rsid w:val="18BC6B24"/>
    <w:rsid w:val="1A0063AB"/>
    <w:rsid w:val="1A911F76"/>
    <w:rsid w:val="1B1644C0"/>
    <w:rsid w:val="1B6C5A72"/>
    <w:rsid w:val="1B743824"/>
    <w:rsid w:val="1BE2334E"/>
    <w:rsid w:val="1C80665F"/>
    <w:rsid w:val="1CCE366F"/>
    <w:rsid w:val="1E5C79E9"/>
    <w:rsid w:val="1F1D2584"/>
    <w:rsid w:val="1F204383"/>
    <w:rsid w:val="1FCC760B"/>
    <w:rsid w:val="205A78A5"/>
    <w:rsid w:val="20BA09EF"/>
    <w:rsid w:val="229C5ABE"/>
    <w:rsid w:val="22FE6946"/>
    <w:rsid w:val="23FD31FE"/>
    <w:rsid w:val="24B93C4E"/>
    <w:rsid w:val="252B4381"/>
    <w:rsid w:val="26046D2F"/>
    <w:rsid w:val="27954AAA"/>
    <w:rsid w:val="27AE1810"/>
    <w:rsid w:val="27D00A89"/>
    <w:rsid w:val="27F362D2"/>
    <w:rsid w:val="28783EB1"/>
    <w:rsid w:val="2A6A428D"/>
    <w:rsid w:val="2B2F48EA"/>
    <w:rsid w:val="2BF35A45"/>
    <w:rsid w:val="2D273DB7"/>
    <w:rsid w:val="2D375E22"/>
    <w:rsid w:val="2DA74F8B"/>
    <w:rsid w:val="2DF4764B"/>
    <w:rsid w:val="2EE4306C"/>
    <w:rsid w:val="304F3095"/>
    <w:rsid w:val="30F65C58"/>
    <w:rsid w:val="31933657"/>
    <w:rsid w:val="334C4FED"/>
    <w:rsid w:val="33724D19"/>
    <w:rsid w:val="33C107E7"/>
    <w:rsid w:val="346379AB"/>
    <w:rsid w:val="36B12C26"/>
    <w:rsid w:val="3708192A"/>
    <w:rsid w:val="398443D3"/>
    <w:rsid w:val="39AA7D10"/>
    <w:rsid w:val="3A6D32E8"/>
    <w:rsid w:val="3AB17CAD"/>
    <w:rsid w:val="3AD7637D"/>
    <w:rsid w:val="3C1E1D27"/>
    <w:rsid w:val="3C7A386B"/>
    <w:rsid w:val="3D1C4F16"/>
    <w:rsid w:val="3DB836CD"/>
    <w:rsid w:val="3EAD5E17"/>
    <w:rsid w:val="40DB64A8"/>
    <w:rsid w:val="428C5196"/>
    <w:rsid w:val="42E33CA3"/>
    <w:rsid w:val="42F46FDC"/>
    <w:rsid w:val="457359A1"/>
    <w:rsid w:val="457527E7"/>
    <w:rsid w:val="46EA51C7"/>
    <w:rsid w:val="47480A7B"/>
    <w:rsid w:val="47703803"/>
    <w:rsid w:val="485338EE"/>
    <w:rsid w:val="489F6B33"/>
    <w:rsid w:val="48F43FE9"/>
    <w:rsid w:val="493F3E21"/>
    <w:rsid w:val="49CF4FE6"/>
    <w:rsid w:val="4A1A5397"/>
    <w:rsid w:val="4BAB07F5"/>
    <w:rsid w:val="4BDD2F4F"/>
    <w:rsid w:val="4C3B337E"/>
    <w:rsid w:val="4C602420"/>
    <w:rsid w:val="4D054E3D"/>
    <w:rsid w:val="4D6C02EB"/>
    <w:rsid w:val="4DBF25AD"/>
    <w:rsid w:val="4E525DC5"/>
    <w:rsid w:val="4FBA2FBC"/>
    <w:rsid w:val="50037265"/>
    <w:rsid w:val="500E1583"/>
    <w:rsid w:val="504F39AD"/>
    <w:rsid w:val="517B5C63"/>
    <w:rsid w:val="52325EC7"/>
    <w:rsid w:val="52870511"/>
    <w:rsid w:val="53D24237"/>
    <w:rsid w:val="53FB37B2"/>
    <w:rsid w:val="56295B51"/>
    <w:rsid w:val="56EFD951"/>
    <w:rsid w:val="585D0118"/>
    <w:rsid w:val="58970A03"/>
    <w:rsid w:val="590F1C88"/>
    <w:rsid w:val="5A053A7E"/>
    <w:rsid w:val="5A157AA5"/>
    <w:rsid w:val="5A29081A"/>
    <w:rsid w:val="5A9C0BF6"/>
    <w:rsid w:val="5AA47B80"/>
    <w:rsid w:val="5BC6433A"/>
    <w:rsid w:val="5BDB0E58"/>
    <w:rsid w:val="5BE75664"/>
    <w:rsid w:val="5E8C0DB9"/>
    <w:rsid w:val="5F437F5F"/>
    <w:rsid w:val="5F530592"/>
    <w:rsid w:val="605763CF"/>
    <w:rsid w:val="60626834"/>
    <w:rsid w:val="60D612A9"/>
    <w:rsid w:val="61337AA3"/>
    <w:rsid w:val="62D60072"/>
    <w:rsid w:val="64492A8A"/>
    <w:rsid w:val="648570CD"/>
    <w:rsid w:val="648A7DE6"/>
    <w:rsid w:val="665C418B"/>
    <w:rsid w:val="67E4535B"/>
    <w:rsid w:val="67FE6D58"/>
    <w:rsid w:val="69865F17"/>
    <w:rsid w:val="69BF005D"/>
    <w:rsid w:val="6A0E546F"/>
    <w:rsid w:val="6A257A27"/>
    <w:rsid w:val="6A535FE1"/>
    <w:rsid w:val="6B710154"/>
    <w:rsid w:val="6C4B6CFD"/>
    <w:rsid w:val="6C6C787C"/>
    <w:rsid w:val="6CAA217E"/>
    <w:rsid w:val="6E3605D4"/>
    <w:rsid w:val="71F22976"/>
    <w:rsid w:val="72526727"/>
    <w:rsid w:val="742D0BE7"/>
    <w:rsid w:val="7530098F"/>
    <w:rsid w:val="75A4354F"/>
    <w:rsid w:val="75E9162C"/>
    <w:rsid w:val="76215CDC"/>
    <w:rsid w:val="78D82391"/>
    <w:rsid w:val="79483969"/>
    <w:rsid w:val="79E26ABE"/>
    <w:rsid w:val="7A786F71"/>
    <w:rsid w:val="7DAB0349"/>
    <w:rsid w:val="7E0C0045"/>
    <w:rsid w:val="7E1102B6"/>
    <w:rsid w:val="7E7E073E"/>
    <w:rsid w:val="7E865AC4"/>
    <w:rsid w:val="7F04079C"/>
    <w:rsid w:val="7FA05DDA"/>
    <w:rsid w:val="7FBE526F"/>
    <w:rsid w:val="7FF708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28"/>
      <w:lang w:val="en-US" w:eastAsia="zh-CN" w:bidi="ar-SA"/>
    </w:rPr>
  </w:style>
  <w:style w:type="character" w:default="1" w:styleId="8">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20"/>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rFonts w:ascii="Calibri" w:hAnsi="Calibri" w:eastAsia="宋体"/>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rFonts w:ascii="Calibri" w:hAnsi="Calibri" w:eastAsia="宋体"/>
      <w:sz w:val="18"/>
      <w:szCs w:val="18"/>
    </w:rPr>
  </w:style>
  <w:style w:type="paragraph" w:styleId="5">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页脚 Char"/>
    <w:basedOn w:val="8"/>
    <w:link w:val="3"/>
    <w:qFormat/>
    <w:uiPriority w:val="99"/>
    <w:rPr>
      <w:sz w:val="18"/>
      <w:szCs w:val="18"/>
    </w:rPr>
  </w:style>
  <w:style w:type="character" w:customStyle="1" w:styleId="10">
    <w:name w:val="页眉 Char"/>
    <w:basedOn w:val="8"/>
    <w:link w:val="4"/>
    <w:qFormat/>
    <w:uiPriority w:val="99"/>
    <w:rPr>
      <w:sz w:val="18"/>
      <w:szCs w:val="18"/>
    </w:rPr>
  </w:style>
  <w:style w:type="character" w:customStyle="1" w:styleId="11">
    <w:name w:val="段 Char"/>
    <w:link w:val="12"/>
    <w:qFormat/>
    <w:locked/>
    <w:uiPriority w:val="0"/>
    <w:rPr>
      <w:rFonts w:ascii="宋体"/>
    </w:rPr>
  </w:style>
  <w:style w:type="paragraph" w:customStyle="1" w:styleId="12">
    <w:name w:val="段"/>
    <w:link w:val="11"/>
    <w:qFormat/>
    <w:uiPriority w:val="0"/>
    <w:pPr>
      <w:tabs>
        <w:tab w:val="center" w:pos="4201"/>
        <w:tab w:val="right" w:leader="dot" w:pos="9298"/>
      </w:tabs>
      <w:autoSpaceDE w:val="0"/>
      <w:autoSpaceDN w:val="0"/>
      <w:ind w:firstLine="420" w:firstLineChars="200"/>
      <w:jc w:val="both"/>
    </w:pPr>
    <w:rPr>
      <w:rFonts w:ascii="宋体" w:hAnsi="Calibri" w:eastAsia="宋体" w:cs="Times New Roman"/>
      <w:kern w:val="2"/>
      <w:sz w:val="21"/>
      <w:szCs w:val="22"/>
      <w:lang w:val="en-US" w:eastAsia="zh-CN" w:bidi="ar-SA"/>
    </w:rPr>
  </w:style>
  <w:style w:type="paragraph" w:customStyle="1" w:styleId="13">
    <w:name w:val="一级条标题"/>
    <w:next w:val="12"/>
    <w:link w:val="24"/>
    <w:qFormat/>
    <w:uiPriority w:val="0"/>
    <w:pPr>
      <w:numPr>
        <w:ilvl w:val="1"/>
        <w:numId w:val="1"/>
      </w:numPr>
      <w:spacing w:beforeLines="50" w:afterLines="50"/>
      <w:outlineLvl w:val="2"/>
    </w:pPr>
    <w:rPr>
      <w:rFonts w:ascii="黑体" w:hAnsi="Times New Roman" w:eastAsia="黑体" w:cs="Times New Roman"/>
      <w:sz w:val="21"/>
      <w:szCs w:val="21"/>
      <w:lang w:val="en-US" w:eastAsia="zh-CN" w:bidi="ar-SA"/>
    </w:rPr>
  </w:style>
  <w:style w:type="paragraph" w:customStyle="1" w:styleId="14">
    <w:name w:val="二级无"/>
    <w:basedOn w:val="15"/>
    <w:qFormat/>
    <w:uiPriority w:val="0"/>
    <w:pPr>
      <w:spacing w:beforeLines="0" w:afterLines="0"/>
      <w:ind w:left="426"/>
    </w:pPr>
    <w:rPr>
      <w:rFonts w:ascii="宋体" w:eastAsia="宋体"/>
    </w:rPr>
  </w:style>
  <w:style w:type="paragraph" w:customStyle="1" w:styleId="15">
    <w:name w:val="二级条标题"/>
    <w:basedOn w:val="13"/>
    <w:next w:val="12"/>
    <w:qFormat/>
    <w:uiPriority w:val="0"/>
    <w:pPr>
      <w:numPr>
        <w:ilvl w:val="2"/>
      </w:numPr>
      <w:spacing w:before="50" w:after="50"/>
      <w:ind w:left="568"/>
      <w:outlineLvl w:val="3"/>
    </w:pPr>
  </w:style>
  <w:style w:type="paragraph" w:customStyle="1" w:styleId="16">
    <w:name w:val="章标题"/>
    <w:next w:val="12"/>
    <w:qFormat/>
    <w:uiPriority w:val="0"/>
    <w:pPr>
      <w:numPr>
        <w:ilvl w:val="0"/>
        <w:numId w:val="1"/>
      </w:numPr>
      <w:spacing w:beforeLines="100" w:afterLines="100"/>
      <w:jc w:val="both"/>
      <w:outlineLvl w:val="1"/>
    </w:pPr>
    <w:rPr>
      <w:rFonts w:ascii="黑体" w:hAnsi="Times New Roman" w:eastAsia="黑体" w:cs="Times New Roman"/>
      <w:sz w:val="21"/>
      <w:lang w:val="en-US" w:eastAsia="zh-CN" w:bidi="ar-SA"/>
    </w:rPr>
  </w:style>
  <w:style w:type="paragraph" w:customStyle="1" w:styleId="17">
    <w:name w:val="列表段落1"/>
    <w:basedOn w:val="1"/>
    <w:qFormat/>
    <w:uiPriority w:val="34"/>
    <w:pPr>
      <w:ind w:firstLine="420" w:firstLineChars="200"/>
    </w:pPr>
  </w:style>
  <w:style w:type="character" w:customStyle="1" w:styleId="18">
    <w:name w:val="font31"/>
    <w:basedOn w:val="8"/>
    <w:qFormat/>
    <w:uiPriority w:val="0"/>
    <w:rPr>
      <w:rFonts w:hint="eastAsia" w:ascii="宋体" w:hAnsi="宋体" w:eastAsia="宋体" w:cs="宋体"/>
      <w:color w:val="FF0000"/>
      <w:sz w:val="22"/>
      <w:szCs w:val="22"/>
      <w:u w:val="none"/>
    </w:rPr>
  </w:style>
  <w:style w:type="character" w:customStyle="1" w:styleId="19">
    <w:name w:val="font01"/>
    <w:basedOn w:val="8"/>
    <w:qFormat/>
    <w:uiPriority w:val="0"/>
    <w:rPr>
      <w:rFonts w:hint="eastAsia" w:ascii="宋体" w:hAnsi="宋体" w:eastAsia="宋体" w:cs="宋体"/>
      <w:color w:val="000000"/>
      <w:sz w:val="22"/>
      <w:szCs w:val="22"/>
      <w:u w:val="none"/>
    </w:rPr>
  </w:style>
  <w:style w:type="character" w:customStyle="1" w:styleId="20">
    <w:name w:val="批注框文本 Char"/>
    <w:basedOn w:val="8"/>
    <w:link w:val="2"/>
    <w:semiHidden/>
    <w:qFormat/>
    <w:uiPriority w:val="99"/>
    <w:rPr>
      <w:rFonts w:ascii="Times New Roman" w:hAnsi="Times New Roman" w:eastAsia="仿宋_GB2312"/>
      <w:kern w:val="2"/>
      <w:sz w:val="18"/>
      <w:szCs w:val="18"/>
    </w:rPr>
  </w:style>
  <w:style w:type="paragraph" w:customStyle="1" w:styleId="21">
    <w:name w:val="注×：（正文）"/>
    <w:qFormat/>
    <w:uiPriority w:val="0"/>
    <w:pPr>
      <w:numPr>
        <w:ilvl w:val="0"/>
        <w:numId w:val="2"/>
      </w:numPr>
      <w:jc w:val="both"/>
    </w:pPr>
    <w:rPr>
      <w:rFonts w:ascii="宋体" w:hAnsi="Times New Roman" w:eastAsia="宋体" w:cs="Times New Roman"/>
      <w:sz w:val="18"/>
      <w:szCs w:val="18"/>
      <w:lang w:val="en-US" w:eastAsia="zh-CN" w:bidi="ar-SA"/>
    </w:rPr>
  </w:style>
  <w:style w:type="character" w:customStyle="1" w:styleId="22">
    <w:name w:val="font61"/>
    <w:basedOn w:val="8"/>
    <w:qFormat/>
    <w:uiPriority w:val="0"/>
    <w:rPr>
      <w:rFonts w:hint="default" w:ascii="Times New Roman" w:hAnsi="Times New Roman" w:cs="Times New Roman"/>
      <w:color w:val="000000"/>
      <w:sz w:val="22"/>
      <w:szCs w:val="22"/>
      <w:u w:val="none"/>
    </w:rPr>
  </w:style>
  <w:style w:type="character" w:customStyle="1" w:styleId="23">
    <w:name w:val="font51"/>
    <w:basedOn w:val="8"/>
    <w:qFormat/>
    <w:uiPriority w:val="0"/>
    <w:rPr>
      <w:rFonts w:hint="default" w:ascii="Times New Roman" w:hAnsi="Times New Roman" w:cs="Times New Roman"/>
      <w:color w:val="000000"/>
      <w:sz w:val="22"/>
      <w:szCs w:val="22"/>
      <w:u w:val="none"/>
      <w:vertAlign w:val="subscript"/>
    </w:rPr>
  </w:style>
  <w:style w:type="character" w:customStyle="1" w:styleId="24">
    <w:name w:val="一级条标题 Char"/>
    <w:link w:val="13"/>
    <w:uiPriority w:val="0"/>
    <w:rPr>
      <w:rFonts w:ascii="黑体" w:eastAsia="黑体"/>
      <w:sz w:val="21"/>
      <w:szCs w:val="21"/>
    </w:rPr>
  </w:style>
  <w:style w:type="paragraph" w:customStyle="1" w:styleId="25">
    <w:name w:val="三级条标题"/>
    <w:basedOn w:val="15"/>
    <w:next w:val="12"/>
    <w:qFormat/>
    <w:uiPriority w:val="0"/>
    <w:pPr>
      <w:numPr>
        <w:ilvl w:val="0"/>
        <w:numId w:val="0"/>
      </w:numPr>
      <w:outlineLvl w:val="4"/>
    </w:pPr>
  </w:style>
  <w:style w:type="paragraph" w:customStyle="1" w:styleId="26">
    <w:name w:val="四级条标题"/>
    <w:basedOn w:val="25"/>
    <w:next w:val="12"/>
    <w:uiPriority w:val="0"/>
    <w:pPr>
      <w:outlineLvl w:val="5"/>
    </w:pPr>
  </w:style>
  <w:style w:type="paragraph" w:customStyle="1" w:styleId="27">
    <w:name w:val="五级条标题"/>
    <w:basedOn w:val="26"/>
    <w:next w:val="12"/>
    <w:uiPriority w:val="0"/>
    <w:pPr>
      <w:outlineLvl w:val="6"/>
    </w:pPr>
  </w:style>
  <w:style w:type="paragraph" w:styleId="28">
    <w:name w:val="List Paragraph"/>
    <w:basedOn w:val="1"/>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image" Target="media/image13.png"/><Relationship Id="rId16" Type="http://schemas.openxmlformats.org/officeDocument/2006/relationships/image" Target="media/image12.png"/><Relationship Id="rId15" Type="http://schemas.openxmlformats.org/officeDocument/2006/relationships/image" Target="media/image11.png"/><Relationship Id="rId14" Type="http://schemas.openxmlformats.org/officeDocument/2006/relationships/image" Target="media/image10.png"/><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微软公司</Company>
  <Pages>17</Pages>
  <Words>8031</Words>
  <Characters>10082</Characters>
  <Lines>76</Lines>
  <Paragraphs>21</Paragraphs>
  <TotalTime>1</TotalTime>
  <ScaleCrop>false</ScaleCrop>
  <LinksUpToDate>false</LinksUpToDate>
  <CharactersWithSpaces>10184</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2022-09-30T02:31:00Z</dcterms:created>
  <dc:creator>微软用户</dc:creator>
  <cp:lastModifiedBy>王凤</cp:lastModifiedBy>
  <dcterms:modified xsi:type="dcterms:W3CDTF">2022-11-16T02:00:05Z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121FC054EEA1415FB59E15D05E43B18E</vt:lpwstr>
  </property>
</Properties>
</file>