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left"/>
        <w:rPr>
          <w:rFonts w:ascii="黑体" w:hAnsi="黑体" w:eastAsia="黑体"/>
          <w:b/>
          <w:sz w:val="32"/>
          <w:szCs w:val="32"/>
        </w:rPr>
      </w:pPr>
    </w:p>
    <w:p>
      <w:pPr>
        <w:spacing w:after="312" w:afterLines="100" w:line="560" w:lineRule="exact"/>
        <w:jc w:val="center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仿宋" w:eastAsia="方正小标宋简体"/>
          <w:bCs/>
          <w:sz w:val="32"/>
          <w:szCs w:val="32"/>
        </w:rPr>
        <w:t>中国绿色铸造企业评选办法</w:t>
      </w:r>
    </w:p>
    <w:p>
      <w:pPr>
        <w:pStyle w:val="2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第一章  总则</w:t>
      </w:r>
    </w:p>
    <w:p>
      <w:pPr>
        <w:spacing w:line="360" w:lineRule="auto"/>
        <w:ind w:firstLine="639" w:firstLineChars="199"/>
        <w:rPr>
          <w:rFonts w:ascii="仿宋" w:hAnsi="仿宋" w:eastAsia="仿宋" w:cs="仿宋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</w:rPr>
        <w:t xml:space="preserve">第一条  </w:t>
      </w:r>
      <w:r>
        <w:rPr>
          <w:rFonts w:hint="eastAsia" w:ascii="仿宋" w:hAnsi="仿宋" w:eastAsia="仿宋" w:cs="仿宋"/>
          <w:sz w:val="32"/>
          <w:szCs w:val="32"/>
        </w:rPr>
        <w:t>为贯彻实施绿色发展战略，进一步打造绿色制造先进典型，使绿色铸造理念深入铸造企业，促进我国铸造行业向绿色环保、可持续方向发展，建立一个高效、清洁、低碳、循环的绿色铸造体系，提升企业在国际国内市场上的综合竞争力，特制定本办法。</w:t>
      </w:r>
    </w:p>
    <w:p>
      <w:pPr>
        <w:spacing w:line="360" w:lineRule="auto"/>
        <w:ind w:firstLine="630" w:firstLineChars="196"/>
        <w:rPr>
          <w:rFonts w:ascii="仿宋" w:hAnsi="仿宋" w:eastAsia="仿宋" w:cs="仿宋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</w:rPr>
        <w:t xml:space="preserve">第二条  </w:t>
      </w:r>
      <w:r>
        <w:rPr>
          <w:rFonts w:hint="eastAsia" w:ascii="仿宋" w:hAnsi="仿宋" w:eastAsia="仿宋" w:cs="仿宋"/>
          <w:sz w:val="32"/>
          <w:szCs w:val="32"/>
        </w:rPr>
        <w:t>本办法所指企业是指具备绿色经营理念、实行绿色管理、保持绿色生产、通过不断创新发展而赢得可持续竞争力的绿色铸造企业。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</w:rPr>
        <w:t xml:space="preserve">第三条  </w:t>
      </w:r>
      <w:r>
        <w:rPr>
          <w:rFonts w:hint="eastAsia" w:ascii="仿宋" w:hAnsi="仿宋" w:eastAsia="仿宋" w:cs="仿宋"/>
          <w:sz w:val="32"/>
          <w:szCs w:val="32"/>
        </w:rPr>
        <w:t>中国绿色铸造企业评选工作由《铸造工程》杂志社组织实施，设评选专家评审委员会和评选工作办公室。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</w:rPr>
        <w:t xml:space="preserve">第四条  </w:t>
      </w:r>
      <w:r>
        <w:rPr>
          <w:rFonts w:hint="eastAsia" w:ascii="仿宋" w:hAnsi="仿宋" w:eastAsia="仿宋" w:cs="仿宋"/>
          <w:sz w:val="32"/>
          <w:szCs w:val="32"/>
        </w:rPr>
        <w:t>遵循企业自愿参与的原则，严格遵循公开、公平、公正的工作作风，按照“统一标准、统一方法、分类考核、择优选择”的评选原则，多层次、多维度、多方向对企业进行综合评价，真实反映企业的实际状况。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</w:rPr>
        <w:t xml:space="preserve">第五条  </w:t>
      </w:r>
      <w:r>
        <w:rPr>
          <w:rFonts w:hint="eastAsia" w:ascii="仿宋" w:hAnsi="仿宋" w:eastAsia="仿宋" w:cs="仿宋"/>
          <w:sz w:val="32"/>
          <w:szCs w:val="32"/>
        </w:rPr>
        <w:t>评选活动是公益性活动，无任何商业行为，不向企业收取任何费用（评选过程中会组织专家论证及现场考察活动，考察期间专家差旅住宿由企业负责安排）。</w:t>
      </w:r>
    </w:p>
    <w:p>
      <w:pPr>
        <w:pStyle w:val="2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第二章  申报条件</w:t>
      </w:r>
    </w:p>
    <w:p>
      <w:pPr>
        <w:spacing w:line="360" w:lineRule="auto"/>
        <w:ind w:firstLine="630" w:firstLineChars="196"/>
        <w:rPr>
          <w:rFonts w:ascii="仿宋" w:hAnsi="仿宋" w:eastAsia="仿宋" w:cs="仿宋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</w:rPr>
        <w:t xml:space="preserve">第六条  </w:t>
      </w:r>
      <w:r>
        <w:rPr>
          <w:rFonts w:hint="eastAsia" w:ascii="仿宋" w:hAnsi="仿宋" w:eastAsia="仿宋" w:cs="仿宋"/>
          <w:sz w:val="32"/>
          <w:szCs w:val="32"/>
        </w:rPr>
        <w:t>凡在中华人民共和国境内工商管理部门正式注册的铸造类企业（含铸造装备及原辅材料生产企业）均可申报参加评选。</w:t>
      </w:r>
    </w:p>
    <w:p>
      <w:pPr>
        <w:spacing w:line="360" w:lineRule="auto"/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</w:rPr>
        <w:t xml:space="preserve">第七条  </w:t>
      </w:r>
      <w:r>
        <w:rPr>
          <w:rFonts w:hint="eastAsia" w:ascii="仿宋" w:hAnsi="仿宋" w:eastAsia="仿宋" w:cs="仿宋"/>
          <w:sz w:val="32"/>
          <w:szCs w:val="32"/>
        </w:rPr>
        <w:t>申报企业须具备下列条件：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1.参评企业应为规模以上企业或行业内“专特精新”、“单项冠军”等优势企业。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2.参评企业应通过ISO 9001质量管理体系认证、ISO 14001环境管理体系认证、OHSAS 18001职业健康安全管理体系认证或其他专业认证。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3.参评铸造企业应符合《铸造企业规范条件》（T/CFA 0310021 -- 2019）的要求。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</w:rPr>
        <w:t xml:space="preserve">第八条  </w:t>
      </w:r>
      <w:r>
        <w:rPr>
          <w:rFonts w:hint="eastAsia" w:ascii="仿宋" w:hAnsi="仿宋" w:eastAsia="仿宋" w:cs="仿宋"/>
          <w:sz w:val="32"/>
          <w:szCs w:val="32"/>
        </w:rPr>
        <w:t>凡有下列情况之一的企业不得申报：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1.生产和经销假冒伪劣商品；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2.偷税、骗税、抗税和逃避追缴欠税；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3.有仲裁机构裁定合同违约记录；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4.近四年内发生过重大安全生产事故和重大环境污染事故；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5.仍然使用国家法规、技术政策明令淘汰及限制的技术、材料、装备。</w:t>
      </w:r>
    </w:p>
    <w:p>
      <w:pPr>
        <w:pStyle w:val="2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第三章  评选组织及评定标准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bookmarkStart w:id="0" w:name="OLE_LINK5"/>
      <w:bookmarkStart w:id="1" w:name="OLE_LINK6"/>
      <w:r>
        <w:rPr>
          <w:rStyle w:val="15"/>
          <w:rFonts w:hint="eastAsia" w:ascii="仿宋" w:hAnsi="仿宋" w:eastAsia="仿宋" w:cs="仿宋"/>
          <w:sz w:val="32"/>
        </w:rPr>
        <w:t xml:space="preserve">第九条  </w:t>
      </w:r>
      <w:r>
        <w:rPr>
          <w:rFonts w:hint="eastAsia" w:ascii="仿宋" w:hAnsi="仿宋" w:eastAsia="仿宋" w:cs="仿宋"/>
          <w:sz w:val="32"/>
          <w:szCs w:val="32"/>
        </w:rPr>
        <w:t>评选工作由《铸造工程》杂志社组织实施。</w:t>
      </w:r>
    </w:p>
    <w:bookmarkEnd w:id="0"/>
    <w:bookmarkEnd w:id="1"/>
    <w:p>
      <w:pPr>
        <w:widowControl/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</w:rPr>
        <w:t xml:space="preserve">第十条  </w:t>
      </w:r>
      <w:r>
        <w:rPr>
          <w:rFonts w:hint="eastAsia" w:ascii="仿宋" w:hAnsi="仿宋" w:eastAsia="仿宋" w:cs="仿宋"/>
          <w:sz w:val="32"/>
          <w:szCs w:val="32"/>
        </w:rPr>
        <w:t>评定标准参照</w:t>
      </w:r>
      <w:r>
        <w:rPr>
          <w:rFonts w:hint="eastAsia" w:ascii="仿宋" w:hAnsi="仿宋" w:eastAsia="仿宋" w:cs="仿宋"/>
          <w:kern w:val="0"/>
          <w:sz w:val="32"/>
          <w:szCs w:val="32"/>
        </w:rPr>
        <w:t>《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绿色铸造企业评价规则</w:t>
      </w:r>
      <w:r>
        <w:rPr>
          <w:rFonts w:hint="eastAsia" w:ascii="仿宋" w:hAnsi="仿宋" w:eastAsia="仿宋" w:cs="仿宋"/>
          <w:kern w:val="0"/>
          <w:sz w:val="32"/>
          <w:szCs w:val="32"/>
        </w:rPr>
        <w:t>》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（T/CFA 030801-1-- 2016）</w:t>
      </w:r>
      <w:r>
        <w:rPr>
          <w:rFonts w:hint="eastAsia" w:ascii="仿宋" w:hAnsi="仿宋" w:eastAsia="仿宋" w:cs="仿宋"/>
          <w:kern w:val="0"/>
          <w:sz w:val="32"/>
          <w:szCs w:val="32"/>
        </w:rPr>
        <w:t>进行。</w:t>
      </w:r>
    </w:p>
    <w:p>
      <w:pPr>
        <w:pStyle w:val="2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第四章  评选活动程序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</w:rPr>
        <w:t xml:space="preserve">第十一条  </w:t>
      </w:r>
      <w:r>
        <w:rPr>
          <w:rFonts w:hint="eastAsia" w:ascii="仿宋" w:hAnsi="仿宋" w:eastAsia="仿宋" w:cs="仿宋"/>
          <w:sz w:val="32"/>
          <w:szCs w:val="32"/>
        </w:rPr>
        <w:t>申报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1.申报办法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采用推荐与自荐相结合的方式进行。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（1）推荐：相关行业组织、产业集群等单位推荐。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（2）自荐：优秀铸造企业可直接向评选通知联系人报名。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2.申报材料要求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（1）纸质材料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纸质材料1份，需胶装成册，内容包括：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附件2：中国绿色铸造企业申请书；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附件3：《参评企业需提交的材料明细表》中要求提供的证明材料等；附件3要求按明细表中所列项目排序。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（2）申报材料的电子数据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参评企业根据统一要求（附件2、3）准备相关资料，申报材料盖章扫描后电子版发至联系人邮箱，电子版需含生产现场视频（3-5分钟企业简介视频，主要包含产品、装备、检测、研发、专利、环保设施、主要工序生产现场等内容）。电子版与纸质版材料一并提交至联系人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</w:rPr>
        <w:t xml:space="preserve">第十二条  </w:t>
      </w:r>
      <w:r>
        <w:rPr>
          <w:rFonts w:hint="eastAsia" w:ascii="仿宋" w:hAnsi="仿宋" w:eastAsia="仿宋" w:cs="仿宋"/>
          <w:sz w:val="32"/>
          <w:szCs w:val="32"/>
        </w:rPr>
        <w:t>初审</w:t>
      </w:r>
    </w:p>
    <w:p>
      <w:pPr>
        <w:spacing w:line="360" w:lineRule="auto"/>
        <w:ind w:firstLine="800" w:firstLineChars="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评选工作办公室对申报企业提交的材料进行初步资格审查认定，出具资料审查意见表。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</w:rPr>
        <w:t xml:space="preserve">第十三条  </w:t>
      </w:r>
      <w:r>
        <w:rPr>
          <w:rFonts w:hint="eastAsia" w:ascii="仿宋" w:hAnsi="仿宋" w:eastAsia="仿宋" w:cs="仿宋"/>
          <w:sz w:val="32"/>
          <w:szCs w:val="32"/>
        </w:rPr>
        <w:t>现场考察评审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对资格审查通过的企业，评选工作办公室对申报单位的材料进行汇总，在规定日期内，评审专家组对申报单位进行现场考察评审。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</w:rPr>
        <w:t xml:space="preserve">第十四条  </w:t>
      </w:r>
      <w:r>
        <w:rPr>
          <w:rFonts w:hint="eastAsia" w:ascii="仿宋" w:hAnsi="仿宋" w:eastAsia="仿宋" w:cs="仿宋"/>
          <w:sz w:val="32"/>
          <w:szCs w:val="32"/>
        </w:rPr>
        <w:t>评审结论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绿色铸造企业按综合评价分值对应“中国绿色铸造试点企业”、“中国绿色铸造企业”、“中国绿色铸造示范企业”三个等级，评审委员会结合现场考察情况，对企业出具评审结论。评选工作办公室根据评审结论确定获得“荣誉称号”名单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bookmarkStart w:id="2" w:name="OLE_LINK25"/>
      <w:bookmarkStart w:id="3" w:name="OLE_LINK24"/>
      <w:r>
        <w:rPr>
          <w:rStyle w:val="15"/>
          <w:rFonts w:hint="eastAsia" w:ascii="仿宋" w:hAnsi="仿宋" w:eastAsia="仿宋" w:cs="仿宋"/>
          <w:sz w:val="32"/>
        </w:rPr>
        <w:t xml:space="preserve">第十五条  </w:t>
      </w:r>
      <w:r>
        <w:rPr>
          <w:rFonts w:hint="eastAsia" w:ascii="仿宋" w:hAnsi="仿宋" w:eastAsia="仿宋" w:cs="仿宋"/>
          <w:sz w:val="32"/>
          <w:szCs w:val="32"/>
        </w:rPr>
        <w:t>公示公告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评选工作办公室对确定的“荣誉称号”名单进行公示，广泛征求意见，受理咨询和投诉。公示无异议后，报表彰活动领导小组，最终批准通过，由《铸造工程》杂志社发布公告。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</w:rPr>
        <w:t xml:space="preserve">第十六条  </w:t>
      </w:r>
      <w:r>
        <w:rPr>
          <w:rFonts w:hint="eastAsia" w:ascii="仿宋" w:hAnsi="仿宋" w:eastAsia="仿宋" w:cs="仿宋"/>
          <w:sz w:val="32"/>
          <w:szCs w:val="32"/>
        </w:rPr>
        <w:t>授牌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评为</w:t>
      </w:r>
      <w:r>
        <w:rPr>
          <w:rFonts w:hint="eastAsia" w:ascii="仿宋" w:hAnsi="仿宋" w:eastAsia="仿宋" w:cs="仿宋"/>
          <w:sz w:val="32"/>
          <w:szCs w:val="32"/>
        </w:rPr>
        <w:t>《中国绿色铸造企业》</w:t>
      </w:r>
      <w:r>
        <w:rPr>
          <w:rFonts w:hint="eastAsia" w:ascii="仿宋" w:hAnsi="仿宋" w:eastAsia="仿宋" w:cs="仿宋"/>
          <w:kern w:val="0"/>
          <w:sz w:val="32"/>
          <w:szCs w:val="32"/>
        </w:rPr>
        <w:t>的企业，将在</w:t>
      </w:r>
      <w:r>
        <w:rPr>
          <w:rFonts w:hint="eastAsia" w:ascii="仿宋" w:hAnsi="仿宋" w:eastAsia="仿宋" w:cs="仿宋"/>
          <w:sz w:val="32"/>
          <w:szCs w:val="32"/>
        </w:rPr>
        <w:t>当年重要会议期间举行授牌仪式。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</w:rPr>
        <w:t xml:space="preserve">第十七条  </w:t>
      </w:r>
      <w:r>
        <w:rPr>
          <w:rFonts w:hint="eastAsia" w:ascii="仿宋" w:hAnsi="仿宋" w:eastAsia="仿宋" w:cs="仿宋"/>
          <w:sz w:val="32"/>
          <w:szCs w:val="32"/>
        </w:rPr>
        <w:t>公布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获得《中国绿色铸造企业》荣誉称号</w:t>
      </w:r>
      <w:r>
        <w:rPr>
          <w:rFonts w:hint="eastAsia" w:ascii="仿宋" w:hAnsi="仿宋" w:eastAsia="仿宋" w:cs="仿宋"/>
          <w:kern w:val="0"/>
          <w:sz w:val="32"/>
          <w:szCs w:val="32"/>
        </w:rPr>
        <w:t>的企业</w:t>
      </w:r>
      <w:r>
        <w:rPr>
          <w:rFonts w:hint="eastAsia" w:ascii="仿宋" w:hAnsi="仿宋" w:eastAsia="仿宋" w:cs="仿宋"/>
          <w:sz w:val="32"/>
          <w:szCs w:val="32"/>
        </w:rPr>
        <w:t>将在《铸造工程》、铸造头条等媒体予以公布。</w:t>
      </w:r>
    </w:p>
    <w:p>
      <w:pPr>
        <w:pStyle w:val="2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第五章  管理与服务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  <w:highlight w:val="yellow"/>
        </w:rPr>
      </w:pPr>
      <w:r>
        <w:rPr>
          <w:rStyle w:val="15"/>
          <w:rFonts w:hint="eastAsia" w:ascii="仿宋" w:hAnsi="仿宋" w:eastAsia="仿宋" w:cs="仿宋"/>
          <w:sz w:val="32"/>
        </w:rPr>
        <w:t xml:space="preserve">第十八条  </w:t>
      </w:r>
      <w:r>
        <w:rPr>
          <w:rFonts w:hint="eastAsia" w:ascii="仿宋" w:hAnsi="仿宋" w:eastAsia="仿宋" w:cs="仿宋"/>
          <w:sz w:val="32"/>
          <w:szCs w:val="32"/>
        </w:rPr>
        <w:t>评选活动每二年开展一次，遵循企业自愿参与原则。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</w:rPr>
        <w:t xml:space="preserve">第十九条  </w:t>
      </w:r>
      <w:r>
        <w:rPr>
          <w:rFonts w:hint="eastAsia" w:ascii="仿宋" w:hAnsi="仿宋" w:eastAsia="仿宋" w:cs="仿宋"/>
          <w:sz w:val="32"/>
          <w:szCs w:val="32"/>
        </w:rPr>
        <w:t>《中国绿色铸造企业》荣誉称号有效期为四年。有效期满后，需重新申报复核。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</w:rPr>
        <w:t xml:space="preserve">第二十条  </w:t>
      </w:r>
      <w:r>
        <w:rPr>
          <w:rFonts w:hint="eastAsia" w:ascii="仿宋" w:hAnsi="仿宋" w:eastAsia="仿宋" w:cs="仿宋"/>
          <w:kern w:val="0"/>
          <w:sz w:val="32"/>
          <w:szCs w:val="32"/>
        </w:rPr>
        <w:t>在荣誉称号有效期内，评选工作办公室对已获得荣誉称号的单位实施动态管理。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年度审查评估：获得荣誉的企业自授牌之日起，每年3月份前提交本单位发展实际状况报告至评选工作办公室联系人。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有效期满复核：将结合企业年度审核评估结果，</w:t>
      </w:r>
      <w:r>
        <w:rPr>
          <w:rFonts w:hint="eastAsia" w:ascii="仿宋" w:hAnsi="仿宋" w:eastAsia="仿宋" w:cs="仿宋"/>
          <w:kern w:val="0"/>
          <w:sz w:val="32"/>
          <w:szCs w:val="32"/>
        </w:rPr>
        <w:t>进行复核。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评估通过或升级的企业，可享有《中国绿色铸造企业》荣誉称号；未通过评估的企业，将取消其称号。评估和/或复核结果在《铸造工程》杂志公布。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</w:rPr>
        <w:t xml:space="preserve">第二十一条  </w:t>
      </w:r>
      <w:r>
        <w:rPr>
          <w:rFonts w:hint="eastAsia" w:ascii="仿宋" w:hAnsi="仿宋" w:eastAsia="仿宋" w:cs="仿宋"/>
          <w:sz w:val="32"/>
          <w:szCs w:val="32"/>
        </w:rPr>
        <w:t>企业有下列情形之一的，撤销其《中国绿色铸造企业》称号，收回证书和牌匾，三年内取消参加评选活动资格。</w:t>
      </w:r>
    </w:p>
    <w:p>
      <w:pPr>
        <w:pStyle w:val="6"/>
        <w:spacing w:before="0" w:beforeAutospacing="0" w:after="0" w:afterAutospacing="0" w:line="360" w:lineRule="auto"/>
        <w:ind w:firstLine="640" w:firstLineChars="200"/>
        <w:jc w:val="both"/>
        <w:rPr>
          <w:rFonts w:hint="default" w:ascii="仿宋" w:hAnsi="仿宋" w:eastAsia="仿宋" w:cs="仿宋"/>
          <w:color w:val="auto"/>
          <w:kern w:val="2"/>
          <w:sz w:val="32"/>
          <w:szCs w:val="32"/>
        </w:rPr>
      </w:pPr>
      <w:r>
        <w:rPr>
          <w:rFonts w:ascii="仿宋" w:hAnsi="仿宋" w:eastAsia="仿宋" w:cs="仿宋"/>
          <w:color w:val="auto"/>
          <w:kern w:val="2"/>
          <w:sz w:val="32"/>
          <w:szCs w:val="32"/>
        </w:rPr>
        <w:t>1.有弄虚作假行为的；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2.偷税、骗税、抗税和逃避追缴欠税；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3.有仲裁机构裁定合同违约记录；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4.发生重大安全生产事故和重大环境污染事故；</w:t>
      </w:r>
    </w:p>
    <w:p>
      <w:pPr>
        <w:pStyle w:val="6"/>
        <w:spacing w:before="0" w:beforeAutospacing="0" w:after="0" w:afterAutospacing="0" w:line="360" w:lineRule="auto"/>
        <w:ind w:firstLine="640" w:firstLineChars="200"/>
        <w:jc w:val="both"/>
        <w:rPr>
          <w:rFonts w:hint="default" w:ascii="仿宋" w:hAnsi="仿宋" w:eastAsia="仿宋" w:cs="仿宋"/>
          <w:color w:val="auto"/>
          <w:kern w:val="2"/>
          <w:sz w:val="32"/>
          <w:szCs w:val="32"/>
        </w:rPr>
      </w:pPr>
      <w:r>
        <w:rPr>
          <w:rFonts w:ascii="仿宋" w:hAnsi="仿宋" w:eastAsia="仿宋" w:cs="仿宋"/>
          <w:color w:val="auto"/>
          <w:kern w:val="2"/>
          <w:sz w:val="32"/>
          <w:szCs w:val="32"/>
        </w:rPr>
        <w:t>5.生产经营出现问题，不能履行企业责任的；</w:t>
      </w:r>
    </w:p>
    <w:p>
      <w:pPr>
        <w:pStyle w:val="6"/>
        <w:spacing w:before="0" w:beforeAutospacing="0" w:after="0" w:afterAutospacing="0" w:line="360" w:lineRule="auto"/>
        <w:ind w:firstLine="640" w:firstLineChars="200"/>
        <w:jc w:val="both"/>
        <w:rPr>
          <w:rFonts w:hint="default" w:ascii="仿宋" w:hAnsi="仿宋" w:eastAsia="仿宋" w:cs="仿宋"/>
          <w:color w:val="auto"/>
          <w:kern w:val="2"/>
          <w:sz w:val="32"/>
          <w:szCs w:val="32"/>
        </w:rPr>
      </w:pPr>
      <w:r>
        <w:rPr>
          <w:rFonts w:ascii="仿宋" w:hAnsi="仿宋" w:eastAsia="仿宋" w:cs="仿宋"/>
          <w:color w:val="auto"/>
          <w:kern w:val="2"/>
          <w:sz w:val="32"/>
          <w:szCs w:val="32"/>
        </w:rPr>
        <w:t>6.有违反法律法规行为的。</w:t>
      </w:r>
    </w:p>
    <w:p>
      <w:pPr>
        <w:pStyle w:val="6"/>
        <w:spacing w:before="0" w:beforeAutospacing="0" w:after="0" w:afterAutospacing="0" w:line="360" w:lineRule="auto"/>
        <w:ind w:firstLine="643" w:firstLineChars="200"/>
        <w:rPr>
          <w:rFonts w:hint="default" w:ascii="仿宋" w:hAnsi="仿宋" w:eastAsia="仿宋" w:cs="仿宋"/>
          <w:color w:val="auto"/>
          <w:sz w:val="32"/>
          <w:szCs w:val="32"/>
        </w:rPr>
      </w:pPr>
      <w:r>
        <w:rPr>
          <w:rStyle w:val="15"/>
          <w:rFonts w:ascii="仿宋" w:hAnsi="仿宋" w:eastAsia="仿宋" w:cs="仿宋"/>
          <w:color w:val="auto"/>
          <w:sz w:val="32"/>
        </w:rPr>
        <w:t xml:space="preserve">第二十二条  </w:t>
      </w:r>
      <w:r>
        <w:rPr>
          <w:rFonts w:ascii="仿宋" w:hAnsi="仿宋" w:eastAsia="仿宋" w:cs="仿宋"/>
          <w:color w:val="auto"/>
          <w:sz w:val="32"/>
          <w:szCs w:val="32"/>
        </w:rPr>
        <w:t>获得《中国绿色铸造企业》称号的企业应在国家法律规定范围内合法使用该称号。</w:t>
      </w:r>
    </w:p>
    <w:p>
      <w:pPr>
        <w:pStyle w:val="6"/>
        <w:spacing w:before="0" w:beforeAutospacing="0" w:after="0" w:afterAutospacing="0" w:line="360" w:lineRule="auto"/>
        <w:ind w:firstLine="643" w:firstLineChars="200"/>
        <w:jc w:val="both"/>
        <w:rPr>
          <w:rFonts w:hint="default" w:ascii="仿宋" w:hAnsi="仿宋" w:eastAsia="仿宋" w:cs="仿宋"/>
          <w:color w:val="auto"/>
          <w:kern w:val="2"/>
          <w:sz w:val="32"/>
          <w:szCs w:val="32"/>
        </w:rPr>
      </w:pPr>
      <w:r>
        <w:rPr>
          <w:rStyle w:val="15"/>
          <w:rFonts w:ascii="仿宋" w:hAnsi="仿宋" w:eastAsia="仿宋" w:cs="仿宋"/>
          <w:color w:val="auto"/>
          <w:sz w:val="32"/>
        </w:rPr>
        <w:t xml:space="preserve">第二十三条  </w:t>
      </w:r>
      <w:r>
        <w:rPr>
          <w:rFonts w:ascii="仿宋" w:hAnsi="仿宋" w:eastAsia="仿宋" w:cs="仿宋"/>
          <w:color w:val="auto"/>
          <w:sz w:val="32"/>
          <w:szCs w:val="32"/>
        </w:rPr>
        <w:t>获得《中国绿色铸造企业》称号的企业</w:t>
      </w:r>
      <w:r>
        <w:rPr>
          <w:rFonts w:ascii="仿宋" w:hAnsi="仿宋" w:eastAsia="仿宋" w:cs="仿宋"/>
          <w:color w:val="auto"/>
          <w:kern w:val="2"/>
          <w:sz w:val="32"/>
          <w:szCs w:val="32"/>
        </w:rPr>
        <w:t>，优先安排参加行业的国内外展销、企业培训、信息发布、典型宣传和项目支持等服务。</w:t>
      </w:r>
    </w:p>
    <w:bookmarkEnd w:id="2"/>
    <w:bookmarkEnd w:id="3"/>
    <w:p>
      <w:pPr>
        <w:pStyle w:val="2"/>
        <w:spacing w:line="360" w:lineRule="auto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第六章  附则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</w:rPr>
        <w:t>第二十</w:t>
      </w:r>
      <w:r>
        <w:rPr>
          <w:rFonts w:hint="eastAsia" w:ascii="仿宋" w:hAnsi="仿宋" w:eastAsia="仿宋" w:cs="仿宋"/>
          <w:b/>
          <w:sz w:val="32"/>
          <w:szCs w:val="32"/>
        </w:rPr>
        <w:t>四</w:t>
      </w:r>
      <w:r>
        <w:rPr>
          <w:rStyle w:val="15"/>
          <w:rFonts w:hint="eastAsia" w:ascii="仿宋" w:hAnsi="仿宋" w:eastAsia="仿宋" w:cs="仿宋"/>
          <w:sz w:val="32"/>
        </w:rPr>
        <w:t xml:space="preserve">条  </w:t>
      </w:r>
      <w:r>
        <w:rPr>
          <w:rFonts w:hint="eastAsia" w:ascii="仿宋" w:hAnsi="仿宋" w:eastAsia="仿宋" w:cs="仿宋"/>
          <w:sz w:val="32"/>
          <w:szCs w:val="32"/>
        </w:rPr>
        <w:t>本办法由《铸造工程》杂志社负责解释。</w:t>
      </w:r>
    </w:p>
    <w:p>
      <w:pPr>
        <w:widowControl/>
        <w:ind w:firstLine="643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第二十五条</w:t>
      </w:r>
      <w:r>
        <w:rPr>
          <w:rFonts w:hint="eastAsia" w:ascii="仿宋" w:hAnsi="仿宋" w:eastAsia="仿宋" w:cs="仿宋"/>
          <w:sz w:val="32"/>
          <w:szCs w:val="32"/>
        </w:rPr>
        <w:t xml:space="preserve">  本办法自公布之日起实行。</w:t>
      </w:r>
    </w:p>
    <w:p>
      <w:pPr>
        <w:rPr>
          <w:rFonts w:ascii="仿宋" w:hAnsi="仿宋" w:eastAsia="仿宋"/>
          <w:kern w:val="0"/>
          <w:szCs w:val="21"/>
        </w:rPr>
      </w:pPr>
      <w:bookmarkStart w:id="4" w:name="_GoBack"/>
      <w:bookmarkEnd w:id="4"/>
    </w:p>
    <w:sectPr>
      <w:footerReference r:id="rId3" w:type="default"/>
      <w:footerReference r:id="rId4" w:type="even"/>
      <w:pgSz w:w="11906" w:h="16838"/>
      <w:pgMar w:top="2098" w:right="1474" w:bottom="1985" w:left="1588" w:header="851" w:footer="136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5788102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wordWrap w:val="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5788074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firstLine="2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16 -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iMzU2MDdmNDljZTAzNjlhZWM5MGU1OWIwN2U5NTAifQ=="/>
  </w:docVars>
  <w:rsids>
    <w:rsidRoot w:val="00FC7330"/>
    <w:rsid w:val="00012528"/>
    <w:rsid w:val="0005235B"/>
    <w:rsid w:val="0006744E"/>
    <w:rsid w:val="00085C63"/>
    <w:rsid w:val="000C28A7"/>
    <w:rsid w:val="000C7C8D"/>
    <w:rsid w:val="000D71A2"/>
    <w:rsid w:val="000D76A4"/>
    <w:rsid w:val="000E1648"/>
    <w:rsid w:val="000E3457"/>
    <w:rsid w:val="00100D15"/>
    <w:rsid w:val="001301DD"/>
    <w:rsid w:val="0013460D"/>
    <w:rsid w:val="00134DE8"/>
    <w:rsid w:val="00137D79"/>
    <w:rsid w:val="00142525"/>
    <w:rsid w:val="001549AC"/>
    <w:rsid w:val="00183B79"/>
    <w:rsid w:val="001943A3"/>
    <w:rsid w:val="001A6CA3"/>
    <w:rsid w:val="001C55F3"/>
    <w:rsid w:val="00201788"/>
    <w:rsid w:val="00207BAF"/>
    <w:rsid w:val="00217155"/>
    <w:rsid w:val="0024337D"/>
    <w:rsid w:val="002A6751"/>
    <w:rsid w:val="002C7485"/>
    <w:rsid w:val="002F5AF6"/>
    <w:rsid w:val="003137FD"/>
    <w:rsid w:val="00335998"/>
    <w:rsid w:val="00350C41"/>
    <w:rsid w:val="00360E6F"/>
    <w:rsid w:val="00364DCD"/>
    <w:rsid w:val="00390374"/>
    <w:rsid w:val="00392957"/>
    <w:rsid w:val="00397CB5"/>
    <w:rsid w:val="003C1298"/>
    <w:rsid w:val="00434F2E"/>
    <w:rsid w:val="00442D5E"/>
    <w:rsid w:val="00463BC4"/>
    <w:rsid w:val="004673B9"/>
    <w:rsid w:val="004746A0"/>
    <w:rsid w:val="004B3E3C"/>
    <w:rsid w:val="0050504C"/>
    <w:rsid w:val="00554F77"/>
    <w:rsid w:val="005646A1"/>
    <w:rsid w:val="00574CB9"/>
    <w:rsid w:val="00586EF3"/>
    <w:rsid w:val="0060791C"/>
    <w:rsid w:val="0061509C"/>
    <w:rsid w:val="00682E2D"/>
    <w:rsid w:val="006B2464"/>
    <w:rsid w:val="006B36D5"/>
    <w:rsid w:val="006C6B30"/>
    <w:rsid w:val="006C761C"/>
    <w:rsid w:val="006D4471"/>
    <w:rsid w:val="006F7C15"/>
    <w:rsid w:val="00710693"/>
    <w:rsid w:val="00713327"/>
    <w:rsid w:val="00717228"/>
    <w:rsid w:val="00730AA1"/>
    <w:rsid w:val="00736A80"/>
    <w:rsid w:val="00767046"/>
    <w:rsid w:val="007732AC"/>
    <w:rsid w:val="00783420"/>
    <w:rsid w:val="007978DE"/>
    <w:rsid w:val="007C76F3"/>
    <w:rsid w:val="007F6F0B"/>
    <w:rsid w:val="0084193C"/>
    <w:rsid w:val="00841BB7"/>
    <w:rsid w:val="00845376"/>
    <w:rsid w:val="00881548"/>
    <w:rsid w:val="009279D3"/>
    <w:rsid w:val="009B1133"/>
    <w:rsid w:val="009B3BA8"/>
    <w:rsid w:val="009D5F06"/>
    <w:rsid w:val="009F6D5E"/>
    <w:rsid w:val="00A07371"/>
    <w:rsid w:val="00A30370"/>
    <w:rsid w:val="00A5558D"/>
    <w:rsid w:val="00A800FC"/>
    <w:rsid w:val="00AA5875"/>
    <w:rsid w:val="00AB4C1C"/>
    <w:rsid w:val="00AD5CB7"/>
    <w:rsid w:val="00AF50CD"/>
    <w:rsid w:val="00AF70BA"/>
    <w:rsid w:val="00B028E3"/>
    <w:rsid w:val="00B149A2"/>
    <w:rsid w:val="00B24882"/>
    <w:rsid w:val="00B24E8C"/>
    <w:rsid w:val="00B43298"/>
    <w:rsid w:val="00B5209A"/>
    <w:rsid w:val="00B82D6C"/>
    <w:rsid w:val="00B844CC"/>
    <w:rsid w:val="00B9292D"/>
    <w:rsid w:val="00BA6B64"/>
    <w:rsid w:val="00BD2BD0"/>
    <w:rsid w:val="00BD721C"/>
    <w:rsid w:val="00BE5158"/>
    <w:rsid w:val="00BE7616"/>
    <w:rsid w:val="00C0454B"/>
    <w:rsid w:val="00C06666"/>
    <w:rsid w:val="00C17CFC"/>
    <w:rsid w:val="00C90F16"/>
    <w:rsid w:val="00CB5F77"/>
    <w:rsid w:val="00CB6006"/>
    <w:rsid w:val="00CD23C6"/>
    <w:rsid w:val="00CD6014"/>
    <w:rsid w:val="00D07450"/>
    <w:rsid w:val="00D1482D"/>
    <w:rsid w:val="00D156CB"/>
    <w:rsid w:val="00D31327"/>
    <w:rsid w:val="00D36676"/>
    <w:rsid w:val="00D558BD"/>
    <w:rsid w:val="00D606B3"/>
    <w:rsid w:val="00D61A46"/>
    <w:rsid w:val="00D67FA6"/>
    <w:rsid w:val="00DA0986"/>
    <w:rsid w:val="00DC1A3E"/>
    <w:rsid w:val="00DD30A5"/>
    <w:rsid w:val="00DE2E33"/>
    <w:rsid w:val="00DE6179"/>
    <w:rsid w:val="00E16F1B"/>
    <w:rsid w:val="00E2100E"/>
    <w:rsid w:val="00E22D6A"/>
    <w:rsid w:val="00E23BD4"/>
    <w:rsid w:val="00E35DFB"/>
    <w:rsid w:val="00E4133D"/>
    <w:rsid w:val="00E65123"/>
    <w:rsid w:val="00E674D4"/>
    <w:rsid w:val="00E93DE8"/>
    <w:rsid w:val="00E9579A"/>
    <w:rsid w:val="00EA39A2"/>
    <w:rsid w:val="00EB1F3C"/>
    <w:rsid w:val="00EB2574"/>
    <w:rsid w:val="00EE2D20"/>
    <w:rsid w:val="00EE4EC6"/>
    <w:rsid w:val="00EE7172"/>
    <w:rsid w:val="00F00E62"/>
    <w:rsid w:val="00F07990"/>
    <w:rsid w:val="00F23E1D"/>
    <w:rsid w:val="00F461A9"/>
    <w:rsid w:val="00F61563"/>
    <w:rsid w:val="00F621ED"/>
    <w:rsid w:val="00F67EFC"/>
    <w:rsid w:val="00FC7330"/>
    <w:rsid w:val="00FF7840"/>
    <w:rsid w:val="024E23C1"/>
    <w:rsid w:val="03A65617"/>
    <w:rsid w:val="06F10B35"/>
    <w:rsid w:val="0B772314"/>
    <w:rsid w:val="0DD84DFE"/>
    <w:rsid w:val="0F097656"/>
    <w:rsid w:val="0F727010"/>
    <w:rsid w:val="0FDC3818"/>
    <w:rsid w:val="117347F3"/>
    <w:rsid w:val="13884E79"/>
    <w:rsid w:val="13DF1E60"/>
    <w:rsid w:val="14194617"/>
    <w:rsid w:val="152905E0"/>
    <w:rsid w:val="152B4388"/>
    <w:rsid w:val="15801B36"/>
    <w:rsid w:val="158942F4"/>
    <w:rsid w:val="158D1DE1"/>
    <w:rsid w:val="16491459"/>
    <w:rsid w:val="17B84874"/>
    <w:rsid w:val="19AA5AEB"/>
    <w:rsid w:val="1A486506"/>
    <w:rsid w:val="1B02584A"/>
    <w:rsid w:val="1B6A434C"/>
    <w:rsid w:val="1C9D6988"/>
    <w:rsid w:val="1D140086"/>
    <w:rsid w:val="1D742F17"/>
    <w:rsid w:val="1FC2095D"/>
    <w:rsid w:val="1FDE1F6A"/>
    <w:rsid w:val="246C1AD7"/>
    <w:rsid w:val="250026DA"/>
    <w:rsid w:val="259D75C1"/>
    <w:rsid w:val="25BB641B"/>
    <w:rsid w:val="26FD0BB4"/>
    <w:rsid w:val="29C35364"/>
    <w:rsid w:val="2A8F304F"/>
    <w:rsid w:val="2C185605"/>
    <w:rsid w:val="2C6405B6"/>
    <w:rsid w:val="2F7F1F3E"/>
    <w:rsid w:val="2F9C3412"/>
    <w:rsid w:val="319C02FB"/>
    <w:rsid w:val="332E70CA"/>
    <w:rsid w:val="33CE0366"/>
    <w:rsid w:val="35587BAD"/>
    <w:rsid w:val="36622011"/>
    <w:rsid w:val="36F54638"/>
    <w:rsid w:val="37CF03FF"/>
    <w:rsid w:val="37D16798"/>
    <w:rsid w:val="3A1449F8"/>
    <w:rsid w:val="3CD66C43"/>
    <w:rsid w:val="3CE422E9"/>
    <w:rsid w:val="3F0B265D"/>
    <w:rsid w:val="3FDB1AED"/>
    <w:rsid w:val="40A14ECE"/>
    <w:rsid w:val="41707930"/>
    <w:rsid w:val="424405F0"/>
    <w:rsid w:val="44561DC2"/>
    <w:rsid w:val="45D30095"/>
    <w:rsid w:val="45E22BAD"/>
    <w:rsid w:val="466A6A21"/>
    <w:rsid w:val="47170479"/>
    <w:rsid w:val="47E6122A"/>
    <w:rsid w:val="492F4C9E"/>
    <w:rsid w:val="49E06EBA"/>
    <w:rsid w:val="4E432124"/>
    <w:rsid w:val="4E8E7FD2"/>
    <w:rsid w:val="50A9689E"/>
    <w:rsid w:val="50C002BC"/>
    <w:rsid w:val="519B3275"/>
    <w:rsid w:val="51DC6718"/>
    <w:rsid w:val="52EE3D1D"/>
    <w:rsid w:val="54737E76"/>
    <w:rsid w:val="54CD4E36"/>
    <w:rsid w:val="54CF5E1B"/>
    <w:rsid w:val="55563E2F"/>
    <w:rsid w:val="569E0E7C"/>
    <w:rsid w:val="572A24A1"/>
    <w:rsid w:val="58B70460"/>
    <w:rsid w:val="5D983C80"/>
    <w:rsid w:val="5F725984"/>
    <w:rsid w:val="60715D62"/>
    <w:rsid w:val="60DC73A5"/>
    <w:rsid w:val="628A1B0F"/>
    <w:rsid w:val="62E65771"/>
    <w:rsid w:val="6BAA5A63"/>
    <w:rsid w:val="6C6209A2"/>
    <w:rsid w:val="6D5470BC"/>
    <w:rsid w:val="705570C3"/>
    <w:rsid w:val="740F1788"/>
    <w:rsid w:val="74E27C24"/>
    <w:rsid w:val="75982D27"/>
    <w:rsid w:val="7632198F"/>
    <w:rsid w:val="79F40CBC"/>
    <w:rsid w:val="7ACA4871"/>
    <w:rsid w:val="7AD040EF"/>
    <w:rsid w:val="7BAD44B8"/>
    <w:rsid w:val="7CB158D0"/>
    <w:rsid w:val="7D1A3DC6"/>
    <w:rsid w:val="7D513F37"/>
    <w:rsid w:val="7E7B71EF"/>
    <w:rsid w:val="7EA67F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100" w:after="100" w:line="415" w:lineRule="auto"/>
      <w:jc w:val="center"/>
      <w:outlineLvl w:val="1"/>
    </w:pPr>
    <w:rPr>
      <w:rFonts w:ascii="Cambria" w:hAnsi="Cambria" w:eastAsia="黑体"/>
      <w:b/>
      <w:bCs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5"/>
    <w:qFormat/>
    <w:uiPriority w:val="11"/>
    <w:pPr>
      <w:spacing w:line="312" w:lineRule="auto"/>
      <w:ind w:firstLine="200" w:firstLineChars="200"/>
      <w:jc w:val="center"/>
      <w:outlineLvl w:val="1"/>
    </w:pPr>
    <w:rPr>
      <w:rFonts w:ascii="Cambria" w:hAnsi="Cambria" w:eastAsia="楷体_GB2312"/>
      <w:b/>
      <w:bCs/>
      <w:kern w:val="28"/>
      <w:sz w:val="28"/>
      <w:szCs w:val="32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3">
    <w:name w:val="_Style 9"/>
    <w:basedOn w:val="1"/>
    <w:next w:val="14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副标题 Char"/>
    <w:link w:val="5"/>
    <w:qFormat/>
    <w:uiPriority w:val="11"/>
    <w:rPr>
      <w:rFonts w:ascii="Cambria" w:hAnsi="Cambria" w:eastAsia="楷体_GB2312"/>
      <w:b/>
      <w:bCs/>
      <w:kern w:val="28"/>
      <w:sz w:val="28"/>
      <w:szCs w:val="32"/>
    </w:rPr>
  </w:style>
  <w:style w:type="paragraph" w:customStyle="1" w:styleId="16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EF8E1-6E9A-4BC0-AEA4-AA94E6AC06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6248</Words>
  <Characters>6530</Characters>
  <Lines>57</Lines>
  <Paragraphs>16</Paragraphs>
  <TotalTime>16</TotalTime>
  <ScaleCrop>false</ScaleCrop>
  <LinksUpToDate>false</LinksUpToDate>
  <CharactersWithSpaces>6736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2022-12-21T05:28:00Z</dcterms:created>
  <dc:creator>wh</dc:creator>
  <cp:lastModifiedBy>张凯</cp:lastModifiedBy>
  <cp:lastPrinted>2022-12-21T05:30:00Z</cp:lastPrinted>
  <dcterms:modified xsi:type="dcterms:W3CDTF">2023-02-06T05:37:04Z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7960CF6C4075456C81912803C28F100A</vt:lpwstr>
  </property>
</Properties>
</file>