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rPr>
          <w:rFonts w:ascii="Times New Roman"/>
          <w:szCs w:val="20"/>
        </w:rPr>
      </w:pPr>
      <w:bookmarkStart w:id="0" w:name="_Toc525046548"/>
      <w:bookmarkStart w:id="1" w:name="_Toc509826185"/>
      <w:bookmarkStart w:id="2" w:name="_Toc873628"/>
      <w:bookmarkStart w:id="3" w:name="_Toc530051741"/>
      <w:bookmarkStart w:id="4" w:name="_Toc13964"/>
      <w:bookmarkStart w:id="5" w:name="_Toc415043548"/>
      <w:bookmarkStart w:id="6" w:name="_Toc415043487"/>
      <w:bookmarkStart w:id="7" w:name="_Toc385602845"/>
    </w:p>
    <w:p>
      <w:pPr>
        <w:pStyle w:val="37"/>
        <w:rPr>
          <w:rFonts w:ascii="Times New Roman"/>
          <w:color w:val="000000" w:themeColor="text1"/>
          <w:szCs w:val="20"/>
          <w14:textFill>
            <w14:solidFill>
              <w14:schemeClr w14:val="tx1"/>
            </w14:solidFill>
          </w14:textFill>
        </w:rPr>
      </w:pPr>
      <w:r>
        <w:rPr>
          <w:rFonts w:ascii="Times New Roman"/>
          <w:color w:val="000000" w:themeColor="text1"/>
          <w:szCs w:val="20"/>
          <w14:textFill>
            <w14:solidFill>
              <w14:schemeClr w14:val="tx1"/>
            </w14:solidFill>
          </w14:textFill>
        </w:rPr>
        <w:t>ICS 97.190</w:t>
      </w:r>
    </w:p>
    <w:p>
      <w:pPr>
        <w:pStyle w:val="37"/>
        <w:rPr>
          <w:rFonts w:ascii="Times New Roman"/>
          <w:color w:val="000000" w:themeColor="text1"/>
          <w:szCs w:val="20"/>
          <w14:textFill>
            <w14:solidFill>
              <w14:schemeClr w14:val="tx1"/>
            </w14:solidFill>
          </w14:textFill>
        </w:rPr>
      </w:pPr>
      <w:r>
        <w:rPr>
          <w:rFonts w:ascii="Times New Roman"/>
          <w:color w:val="000000" w:themeColor="text1"/>
          <w:szCs w:val="20"/>
          <w14:textFill>
            <w14:solidFill>
              <w14:schemeClr w14:val="tx1"/>
            </w14:solidFill>
          </w14:textFill>
        </w:rPr>
        <w:t>CCS Y 57</w:t>
      </w:r>
    </w:p>
    <w:p>
      <w:pPr>
        <w:pStyle w:val="37"/>
        <w:rPr>
          <w:rFonts w:ascii="Times New Roman"/>
          <w:szCs w:val="20"/>
        </w:rPr>
      </w:pPr>
    </w:p>
    <w:p>
      <w:pPr>
        <w:rPr>
          <w:rFonts w:ascii="Times New Roman" w:hAnsi="Times New Roman" w:eastAsia="黑体" w:cs="Times New Roman"/>
          <w:sz w:val="18"/>
          <w:szCs w:val="18"/>
        </w:rPr>
      </w:pPr>
    </w:p>
    <w:p>
      <w:pPr>
        <w:jc w:val="center"/>
        <w:rPr>
          <w:rFonts w:ascii="Times New Roman" w:hAnsi="Times New Roman" w:eastAsia="黑体" w:cs="Times New Roman"/>
          <w:sz w:val="84"/>
        </w:rPr>
      </w:pPr>
      <w:r>
        <w:rPr>
          <w:rFonts w:ascii="Times New Roman" w:hAnsi="Times New Roman" w:eastAsia="黑体" w:cs="Times New Roman"/>
          <w:sz w:val="84"/>
        </w:rPr>
        <w:t>团   体   标   准</w:t>
      </w:r>
    </w:p>
    <w:p>
      <w:pPr>
        <w:pStyle w:val="35"/>
        <w:ind w:right="-2" w:firstLine="0" w:firstLineChars="0"/>
        <w:jc w:val="right"/>
        <w:rPr>
          <w:rFonts w:hint="eastAsia" w:ascii="Times New Roman" w:hAnsi="Times New Roman" w:eastAsia="黑体" w:cs="Times New Roman"/>
          <w:kern w:val="0"/>
          <w:sz w:val="28"/>
          <w:szCs w:val="20"/>
        </w:rPr>
      </w:pPr>
      <w:r>
        <w:rPr>
          <w:rFonts w:ascii="Times New Roman" w:hAnsi="Times New Roman" w:eastAsia="黑体" w:cs="Times New Roman"/>
          <w:kern w:val="0"/>
          <w:sz w:val="28"/>
          <w:szCs w:val="20"/>
        </w:rPr>
        <w:t>T/</w:t>
      </w:r>
      <w:r>
        <w:rPr>
          <w:rFonts w:hint="eastAsia" w:ascii="Times New Roman" w:hAnsi="Times New Roman" w:eastAsia="黑体" w:cs="Times New Roman"/>
          <w:kern w:val="0"/>
          <w:sz w:val="28"/>
          <w:szCs w:val="20"/>
        </w:rPr>
        <w:t>CFA</w:t>
      </w:r>
      <w:r>
        <w:rPr>
          <w:rFonts w:ascii="Times New Roman" w:hAnsi="Times New Roman" w:eastAsia="黑体" w:cs="Times New Roman"/>
          <w:kern w:val="0"/>
          <w:sz w:val="28"/>
          <w:szCs w:val="20"/>
        </w:rPr>
        <w:t xml:space="preserve"> XXXX-XXXX</w:t>
      </w:r>
    </w:p>
    <w:p>
      <w:pPr>
        <w:pStyle w:val="35"/>
        <w:ind w:right="-2" w:firstLine="0" w:firstLineChars="0"/>
        <w:jc w:val="right"/>
        <w:rPr>
          <w:rFonts w:ascii="Times New Roman" w:hAnsi="Times New Roman" w:eastAsia="黑体" w:cs="Times New Roman"/>
          <w:kern w:val="0"/>
          <w:sz w:val="28"/>
          <w:szCs w:val="20"/>
        </w:rPr>
      </w:pPr>
      <w:r>
        <w:rPr>
          <w:rFonts w:ascii="Times New Roman" w:hAnsi="Times New Roman" w:eastAsia="黑体" w:cs="Times New Roman"/>
          <w:kern w:val="0"/>
          <w:sz w:val="28"/>
          <w:szCs w:val="20"/>
        </w:rPr>
        <w:t>T/C</w:t>
      </w:r>
      <w:r>
        <w:rPr>
          <w:rFonts w:hint="eastAsia" w:ascii="Times New Roman" w:hAnsi="Times New Roman" w:eastAsia="黑体" w:cs="Times New Roman"/>
          <w:kern w:val="0"/>
          <w:sz w:val="28"/>
          <w:szCs w:val="20"/>
        </w:rPr>
        <w:t>STE</w:t>
      </w:r>
      <w:r>
        <w:rPr>
          <w:rFonts w:ascii="Times New Roman" w:hAnsi="Times New Roman" w:eastAsia="黑体" w:cs="Times New Roman"/>
          <w:kern w:val="0"/>
          <w:sz w:val="28"/>
          <w:szCs w:val="20"/>
        </w:rPr>
        <w:t xml:space="preserve"> XXXX-XXXX</w:t>
      </w:r>
    </w:p>
    <w:p>
      <w:pPr>
        <w:pStyle w:val="35"/>
        <w:ind w:right="-2" w:firstLine="0" w:firstLineChars="0"/>
        <w:jc w:val="right"/>
        <w:rPr>
          <w:rFonts w:ascii="Times New Roman" w:hAnsi="Times New Roman" w:eastAsia="黑体" w:cs="Times New Roman"/>
          <w:kern w:val="0"/>
          <w:sz w:val="28"/>
          <w:szCs w:val="20"/>
        </w:rPr>
      </w:pPr>
    </w:p>
    <w:p>
      <w:pPr>
        <w:pStyle w:val="35"/>
        <w:ind w:right="838" w:firstLine="0" w:firstLineChars="0"/>
        <w:rPr>
          <w:rFonts w:ascii="Times New Roman" w:hAnsi="Times New Roman" w:eastAsia="黑体" w:cs="Times New Roman"/>
          <w:b/>
          <w:sz w:val="24"/>
          <w:szCs w:val="24"/>
        </w:rPr>
      </w:pPr>
      <w:r>
        <w:rPr>
          <w:rFonts w:ascii="Times New Roman" w:hAnsi="Times New Roman" w:eastAsia="黑体" w:cs="Times New Roman"/>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216535</wp:posOffset>
                </wp:positionV>
                <wp:extent cx="6121400" cy="0"/>
                <wp:effectExtent l="0" t="0" r="0" b="0"/>
                <wp:wrapNone/>
                <wp:docPr id="24"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anchor>
            </w:drawing>
          </mc:Choice>
          <mc:Fallback>
            <w:pict>
              <v:line id="直接连接符 22" o:spid="_x0000_s1026" o:spt="20" style="position:absolute;left:0pt;margin-left:-5.9pt;margin-top:17.05pt;height:0pt;width:482pt;z-index:251659264;mso-width-relative:page;mso-height-relative:page;" filled="f" stroked="t" coordsize="21600,21600" o:gfxdata="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i&#10;LcLYAAAACQEAAA8AAAAAAAAAAQAgAAAAIgAAAGRycy9kb3ducmV2LnhtbFBLAQIUABQAAAAIAIdO&#10;4kBS3mFm6gEAALsDAAAOAAAAAAAAAAEAIAAAACcBAABkcnMvZTJvRG9jLnhtbFBLBQYAAAAABgAG&#10;AFkBAACDBQAAAAA=&#10;">
                <v:fill on="f" focussize="0,0"/>
                <v:stroke weight="1pt" color="#080000" joinstyle="round"/>
                <v:imagedata o:title=""/>
                <o:lock v:ext="edit" aspectratio="f"/>
              </v:line>
            </w:pict>
          </mc:Fallback>
        </mc:AlternateContent>
      </w:r>
    </w:p>
    <w:p>
      <w:pPr>
        <w:pStyle w:val="35"/>
        <w:ind w:firstLine="0" w:firstLineChars="0"/>
        <w:rPr>
          <w:rFonts w:ascii="Times New Roman" w:hAnsi="Times New Roman" w:eastAsia="黑体" w:cs="Times New Roman"/>
          <w:b/>
          <w:spacing w:val="40"/>
          <w:kern w:val="0"/>
          <w:sz w:val="52"/>
          <w:szCs w:val="52"/>
        </w:rPr>
      </w:pPr>
    </w:p>
    <w:p>
      <w:pPr>
        <w:keepNext w:val="0"/>
        <w:keepLines w:val="0"/>
        <w:widowControl/>
        <w:suppressLineNumbers w:val="0"/>
        <w:jc w:val="center"/>
        <w:rPr>
          <w:rFonts w:hint="eastAsia" w:ascii="Times New Roman" w:hAnsi="黑体" w:eastAsia="黑体" w:cs="Times New Roman"/>
          <w:b/>
          <w:bCs/>
          <w:spacing w:val="40"/>
          <w:kern w:val="0"/>
          <w:sz w:val="48"/>
          <w:szCs w:val="48"/>
          <w:lang w:val="en-US" w:eastAsia="zh-CN"/>
        </w:rPr>
      </w:pPr>
      <w:r>
        <w:rPr>
          <w:rFonts w:hint="eastAsia" w:ascii="Times New Roman" w:hAnsi="黑体" w:eastAsia="黑体" w:cs="Times New Roman"/>
          <w:b/>
          <w:bCs/>
          <w:spacing w:val="40"/>
          <w:kern w:val="0"/>
          <w:sz w:val="48"/>
          <w:szCs w:val="48"/>
          <w:lang w:val="en-US" w:eastAsia="zh-CN"/>
        </w:rPr>
        <w:t xml:space="preserve"> 质量分级及“领跑者”评价要求 </w:t>
      </w:r>
    </w:p>
    <w:p>
      <w:pPr>
        <w:keepNext w:val="0"/>
        <w:keepLines w:val="0"/>
        <w:widowControl/>
        <w:suppressLineNumbers w:val="0"/>
        <w:jc w:val="center"/>
        <w:rPr>
          <w:rFonts w:hint="eastAsia" w:ascii="Times New Roman" w:hAnsi="黑体" w:eastAsia="黑体" w:cs="Times New Roman"/>
          <w:b/>
          <w:bCs/>
          <w:spacing w:val="40"/>
          <w:kern w:val="0"/>
          <w:sz w:val="48"/>
          <w:szCs w:val="48"/>
          <w:lang w:val="en-US" w:eastAsia="zh-CN"/>
        </w:rPr>
      </w:pPr>
      <w:r>
        <w:rPr>
          <w:rFonts w:hint="eastAsia" w:ascii="Times New Roman" w:hAnsi="黑体" w:eastAsia="黑体" w:cs="Times New Roman"/>
          <w:b/>
          <w:bCs/>
          <w:spacing w:val="40"/>
          <w:kern w:val="0"/>
          <w:sz w:val="48"/>
          <w:szCs w:val="48"/>
          <w:lang w:val="en-US" w:eastAsia="zh-CN"/>
        </w:rPr>
        <w:t xml:space="preserve"> 球墨铸铁用球化包芯线</w:t>
      </w:r>
    </w:p>
    <w:p>
      <w:pPr>
        <w:keepNext w:val="0"/>
        <w:keepLines w:val="0"/>
        <w:widowControl/>
        <w:suppressLineNumbers w:val="0"/>
        <w:jc w:val="center"/>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lang w:val="en-US" w:eastAsia="zh-CN" w:bidi="ar-SA"/>
        </w:rPr>
        <w:t>Quality classification and the "leader" evaluation requirements</w:t>
      </w:r>
    </w:p>
    <w:p>
      <w:pPr>
        <w:keepNext w:val="0"/>
        <w:keepLines w:val="0"/>
        <w:widowControl/>
        <w:suppressLineNumbers w:val="0"/>
        <w:jc w:val="center"/>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lang w:val="en-US" w:eastAsia="zh-CN" w:bidi="ar-SA"/>
        </w:rPr>
        <w:t>--Nodularizing agent cored wire for ductile iron</w:t>
      </w:r>
    </w:p>
    <w:p>
      <w:pPr>
        <w:keepNext w:val="0"/>
        <w:keepLines w:val="0"/>
        <w:widowControl/>
        <w:suppressLineNumbers w:val="0"/>
        <w:jc w:val="center"/>
        <w:rPr>
          <w:rFonts w:ascii="Times New Roman" w:hAnsi="Times New Roman" w:eastAsia="黑体" w:cs="Times New Roman"/>
          <w:b/>
          <w:bCs/>
          <w:kern w:val="0"/>
          <w:sz w:val="28"/>
          <w:szCs w:val="28"/>
          <w:lang w:val="en-US" w:eastAsia="zh-CN" w:bidi="ar-SA"/>
        </w:rPr>
      </w:pPr>
    </w:p>
    <w:p>
      <w:pPr>
        <w:pStyle w:val="35"/>
        <w:ind w:left="0" w:leftChars="0" w:firstLine="0" w:firstLineChars="0"/>
        <w:jc w:val="center"/>
        <w:rPr>
          <w:rFonts w:ascii="Times New Roman" w:hAnsi="Times New Roman" w:eastAsia="黑体" w:cs="Times New Roman"/>
          <w:b/>
          <w:sz w:val="52"/>
          <w:szCs w:val="52"/>
        </w:rPr>
      </w:pPr>
      <w:r>
        <w:rPr>
          <w:rFonts w:ascii="Times New Roman" w:hAnsi="Times New Roman" w:eastAsia="黑体" w:cs="Times New Roman"/>
          <w:b/>
          <w:sz w:val="52"/>
          <w:szCs w:val="52"/>
        </w:rPr>
        <w:t>（</w:t>
      </w:r>
      <w:r>
        <w:rPr>
          <w:rFonts w:hint="eastAsia" w:ascii="Times New Roman" w:hAnsi="Times New Roman" w:eastAsia="黑体" w:cs="Times New Roman"/>
          <w:b/>
          <w:sz w:val="52"/>
          <w:szCs w:val="52"/>
          <w:lang w:val="en-US" w:eastAsia="zh-CN"/>
        </w:rPr>
        <w:t>征求意见</w:t>
      </w:r>
      <w:r>
        <w:rPr>
          <w:rFonts w:ascii="Times New Roman" w:hAnsi="Times New Roman" w:eastAsia="黑体" w:cs="Times New Roman"/>
          <w:b/>
          <w:sz w:val="52"/>
          <w:szCs w:val="52"/>
        </w:rPr>
        <w:t>稿）</w:t>
      </w:r>
    </w:p>
    <w:p>
      <w:pPr>
        <w:pStyle w:val="35"/>
        <w:ind w:firstLine="0" w:firstLineChars="0"/>
        <w:rPr>
          <w:rFonts w:ascii="Times New Roman" w:hAnsi="Times New Roman" w:eastAsia="黑体" w:cs="Times New Roman"/>
          <w:sz w:val="18"/>
          <w:szCs w:val="18"/>
        </w:rPr>
      </w:pPr>
    </w:p>
    <w:p>
      <w:pPr>
        <w:pStyle w:val="35"/>
        <w:ind w:firstLine="0" w:firstLineChars="0"/>
        <w:rPr>
          <w:rFonts w:ascii="Times New Roman" w:hAnsi="Times New Roman" w:eastAsia="黑体" w:cs="Times New Roman"/>
          <w:sz w:val="18"/>
          <w:szCs w:val="18"/>
        </w:rPr>
      </w:pPr>
      <w:r>
        <w:rPr>
          <w:rFonts w:ascii="Times New Roman" w:hAnsi="Times New Roman" w:eastAsia="方正小标宋简体" w:cs="Times New Roman"/>
          <w:sz w:val="48"/>
          <w:szCs w:val="48"/>
        </w:rPr>
        <mc:AlternateContent>
          <mc:Choice Requires="wps">
            <w:drawing>
              <wp:anchor distT="0" distB="0" distL="114300" distR="114300" simplePos="0" relativeHeight="251662336" behindDoc="0" locked="0" layoutInCell="1" allowOverlap="1">
                <wp:simplePos x="0" y="0"/>
                <wp:positionH relativeFrom="column">
                  <wp:posOffset>4893310</wp:posOffset>
                </wp:positionH>
                <wp:positionV relativeFrom="paragraph">
                  <wp:posOffset>9125585</wp:posOffset>
                </wp:positionV>
                <wp:extent cx="976630" cy="650240"/>
                <wp:effectExtent l="0" t="0" r="13970" b="1651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976630" cy="650240"/>
                        </a:xfrm>
                        <a:prstGeom prst="rect">
                          <a:avLst/>
                        </a:prstGeom>
                        <a:solidFill>
                          <a:srgbClr val="FFFFFF"/>
                        </a:solidFill>
                        <a:ln>
                          <a:noFill/>
                        </a:ln>
                        <a:effectLst/>
                      </wps:spPr>
                      <wps:txbx>
                        <w:txbxContent>
                          <w:p>
                            <w:pPr>
                              <w:rPr>
                                <w:b/>
                                <w:bCs/>
                                <w:sz w:val="36"/>
                                <w:szCs w:val="36"/>
                              </w:rPr>
                            </w:pPr>
                            <w:r>
                              <w:rPr>
                                <w:rStyle w:val="36"/>
                                <w:rFonts w:hint="eastAsia"/>
                                <w:b/>
                                <w:bCs/>
                                <w:sz w:val="36"/>
                                <w:szCs w:val="36"/>
                              </w:rPr>
                              <w:t>发布</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5.3pt;margin-top:718.55pt;height:51.2pt;width:76.9pt;z-index:251662336;mso-width-relative:page;mso-height-relative:page;" fillcolor="#FFFFFF" filled="t" stroked="f" coordsize="21600,21600" o:gfxdata="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HMKkv2gAAAA0BAAAPAAAAAAAAAAEAIAAAACIAAABkcnMvZG93bnJldi54bWxQSwECFAAUAAAA&#10;CACHTuJAVzzmRSUCAAA+BAAADgAAAAAAAAABACAAAAApAQAAZHJzL2Uyb0RvYy54bWxQSwUGAAAA&#10;AAYABgBZAQAAwAUAAAAA&#10;">
                <v:fill on="t" focussize="0,0"/>
                <v:stroke on="f"/>
                <v:imagedata o:title=""/>
                <o:lock v:ext="edit" aspectratio="f"/>
                <v:textbox>
                  <w:txbxContent>
                    <w:p>
                      <w:pPr>
                        <w:rPr>
                          <w:b/>
                          <w:bCs/>
                          <w:sz w:val="36"/>
                          <w:szCs w:val="36"/>
                        </w:rPr>
                      </w:pPr>
                      <w:r>
                        <w:rPr>
                          <w:rStyle w:val="36"/>
                          <w:rFonts w:hint="eastAsia"/>
                          <w:b/>
                          <w:bCs/>
                          <w:sz w:val="36"/>
                          <w:szCs w:val="36"/>
                        </w:rPr>
                        <w:t>发布</w:t>
                      </w:r>
                    </w:p>
                  </w:txbxContent>
                </v:textbox>
              </v:rect>
            </w:pict>
          </mc:Fallback>
        </mc:AlternateContent>
      </w:r>
    </w:p>
    <w:p>
      <w:pPr>
        <w:pStyle w:val="46"/>
        <w:rPr>
          <w:rFonts w:ascii="Times New Roman" w:eastAsia="黑体"/>
        </w:rPr>
      </w:pPr>
    </w:p>
    <w:p>
      <w:pPr>
        <w:pStyle w:val="46"/>
        <w:rPr>
          <w:rFonts w:ascii="Times New Roman" w:eastAsia="黑体"/>
        </w:rPr>
      </w:pPr>
    </w:p>
    <w:bookmarkEnd w:id="0"/>
    <w:bookmarkEnd w:id="1"/>
    <w:bookmarkEnd w:id="2"/>
    <w:bookmarkEnd w:id="3"/>
    <w:p>
      <w:pPr>
        <w:rPr>
          <w:rFonts w:ascii="Times New Roman" w:hAnsi="Times New Roman" w:cs="Times New Roman"/>
          <w:szCs w:val="21"/>
        </w:rPr>
      </w:pPr>
      <w:bookmarkStart w:id="8" w:name="_Toc415043894"/>
      <w:bookmarkStart w:id="9" w:name="_Toc65687976"/>
    </w:p>
    <w:p>
      <w:pPr>
        <w:rPr>
          <w:rFonts w:ascii="Times New Roman" w:hAnsi="Times New Roman" w:cs="Times New Roman"/>
          <w:szCs w:val="21"/>
        </w:rPr>
      </w:pPr>
    </w:p>
    <w:p>
      <w:pPr>
        <w:ind w:left="-424" w:leftChars="-202" w:firstLine="554" w:firstLineChars="200"/>
        <w:jc w:val="left"/>
        <w:rPr>
          <w:rFonts w:ascii="黑体" w:hAnsi="黑体" w:eastAsia="黑体" w:cs="Times New Roman"/>
          <w:sz w:val="28"/>
          <w:u w:val="single"/>
        </w:rPr>
      </w:pPr>
      <w:r>
        <w:rPr>
          <w:rFonts w:hint="eastAsia" w:ascii="黑体" w:hAnsi="黑体" w:eastAsia="黑体" w:cs="Times New Roman"/>
          <w:w w:val="99"/>
          <w:sz w:val="28"/>
          <w:u w:val="single"/>
        </w:rPr>
        <w:t>202</w:t>
      </w:r>
      <w:r>
        <w:rPr>
          <w:rFonts w:hint="eastAsia" w:ascii="黑体" w:hAnsi="黑体" w:eastAsia="黑体" w:cs="Times New Roman"/>
          <w:w w:val="99"/>
          <w:sz w:val="28"/>
          <w:u w:val="single"/>
          <w:lang w:val="en-US" w:eastAsia="zh-CN"/>
        </w:rPr>
        <w:t>3</w:t>
      </w:r>
      <w:r>
        <w:rPr>
          <w:rFonts w:hint="eastAsia" w:ascii="黑体" w:hAnsi="黑体" w:eastAsia="黑体" w:cs="Times New Roman"/>
          <w:w w:val="99"/>
          <w:sz w:val="28"/>
          <w:u w:val="single"/>
        </w:rPr>
        <w:t>-</w:t>
      </w:r>
      <w:r>
        <w:rPr>
          <w:rFonts w:hint="eastAsia" w:ascii="黑体" w:hAnsi="黑体" w:eastAsia="黑体" w:cs="Times New Roman"/>
          <w:kern w:val="0"/>
          <w:sz w:val="28"/>
          <w:szCs w:val="20"/>
          <w:u w:val="single"/>
        </w:rPr>
        <w:t>XX</w:t>
      </w:r>
      <w:r>
        <w:rPr>
          <w:rFonts w:hint="eastAsia" w:ascii="黑体" w:hAnsi="黑体" w:eastAsia="黑体" w:cs="Times New Roman"/>
          <w:w w:val="99"/>
          <w:sz w:val="28"/>
          <w:u w:val="single"/>
        </w:rPr>
        <w:t>-</w:t>
      </w:r>
      <w:r>
        <w:rPr>
          <w:rFonts w:hint="eastAsia" w:ascii="黑体" w:hAnsi="黑体" w:eastAsia="黑体" w:cs="Times New Roman"/>
          <w:kern w:val="0"/>
          <w:sz w:val="28"/>
          <w:szCs w:val="20"/>
          <w:u w:val="single"/>
        </w:rPr>
        <w:t>XX</w:t>
      </w:r>
      <w:r>
        <w:rPr>
          <w:rFonts w:hint="eastAsia" w:ascii="黑体" w:hAnsi="黑体" w:eastAsia="黑体" w:cs="Times New Roman"/>
          <w:w w:val="99"/>
          <w:sz w:val="28"/>
          <w:u w:val="single"/>
        </w:rPr>
        <w:t xml:space="preserve"> 发布                                    202</w:t>
      </w:r>
      <w:r>
        <w:rPr>
          <w:rFonts w:hint="eastAsia" w:ascii="黑体" w:hAnsi="黑体" w:eastAsia="黑体" w:cs="Times New Roman"/>
          <w:w w:val="99"/>
          <w:sz w:val="28"/>
          <w:u w:val="single"/>
          <w:lang w:val="en-US" w:eastAsia="zh-CN"/>
        </w:rPr>
        <w:t>3</w:t>
      </w:r>
      <w:r>
        <w:rPr>
          <w:rFonts w:hint="eastAsia" w:ascii="黑体" w:hAnsi="黑体" w:eastAsia="黑体" w:cs="Times New Roman"/>
          <w:w w:val="99"/>
          <w:sz w:val="28"/>
          <w:u w:val="single"/>
        </w:rPr>
        <w:t>-</w:t>
      </w:r>
      <w:r>
        <w:rPr>
          <w:rFonts w:hint="eastAsia" w:ascii="黑体" w:hAnsi="黑体" w:eastAsia="黑体" w:cs="Times New Roman"/>
          <w:kern w:val="0"/>
          <w:sz w:val="28"/>
          <w:szCs w:val="20"/>
          <w:u w:val="single"/>
        </w:rPr>
        <w:t>XX</w:t>
      </w:r>
      <w:r>
        <w:rPr>
          <w:rFonts w:hint="eastAsia" w:ascii="黑体" w:hAnsi="黑体" w:eastAsia="黑体" w:cs="Times New Roman"/>
          <w:w w:val="99"/>
          <w:sz w:val="28"/>
          <w:u w:val="single"/>
        </w:rPr>
        <w:t>-</w:t>
      </w:r>
      <w:r>
        <w:rPr>
          <w:rFonts w:hint="eastAsia" w:ascii="黑体" w:hAnsi="黑体" w:eastAsia="黑体" w:cs="Times New Roman"/>
          <w:kern w:val="0"/>
          <w:sz w:val="28"/>
          <w:szCs w:val="20"/>
          <w:u w:val="single"/>
        </w:rPr>
        <w:t>XX</w:t>
      </w:r>
      <w:r>
        <w:rPr>
          <w:rFonts w:hint="eastAsia" w:ascii="黑体" w:hAnsi="黑体" w:eastAsia="黑体" w:cs="Times New Roman"/>
          <w:w w:val="99"/>
          <w:sz w:val="28"/>
          <w:u w:val="single"/>
        </w:rPr>
        <w:t xml:space="preserve"> 实施</w:t>
      </w:r>
    </w:p>
    <w:p>
      <w:pPr>
        <w:pStyle w:val="85"/>
        <w:framePr w:w="2854" w:h="1081" w:hRule="exact" w:wrap="around" w:vAnchor="page" w:hAnchor="page" w:x="3969" w:y="14652"/>
        <w:spacing w:line="460" w:lineRule="exact"/>
        <w:rPr>
          <w:rFonts w:ascii="黑体" w:hAnsi="黑体" w:eastAsia="黑体" w:cs="黑体"/>
          <w:b w:val="0"/>
          <w:spacing w:val="0"/>
          <w:w w:val="100"/>
          <w:sz w:val="28"/>
          <w:szCs w:val="28"/>
        </w:rPr>
      </w:pPr>
      <w:r>
        <w:rPr>
          <w:rFonts w:hint="eastAsia" w:ascii="黑体" w:hAnsi="黑体" w:eastAsia="黑体" w:cs="黑体"/>
          <w:b w:val="0"/>
          <w:spacing w:val="0"/>
          <w:w w:val="100"/>
          <w:sz w:val="28"/>
          <w:szCs w:val="28"/>
        </w:rPr>
        <w:t>中 国 铸 造 协会</w:t>
      </w:r>
    </w:p>
    <w:p>
      <w:pPr>
        <w:pStyle w:val="85"/>
        <w:framePr w:w="2854" w:h="1081" w:hRule="exact" w:wrap="around" w:vAnchor="page" w:hAnchor="page" w:x="3969" w:y="14652"/>
        <w:spacing w:line="460" w:lineRule="exact"/>
        <w:rPr>
          <w:rFonts w:ascii="黑体" w:hAnsi="黑体" w:eastAsia="黑体" w:cs="黑体"/>
          <w:b w:val="0"/>
          <w:spacing w:val="0"/>
          <w:w w:val="100"/>
          <w:sz w:val="28"/>
          <w:szCs w:val="28"/>
        </w:rPr>
      </w:pPr>
      <w:r>
        <w:rPr>
          <w:rFonts w:hint="eastAsia" w:ascii="黑体" w:hAnsi="黑体" w:eastAsia="黑体" w:cs="黑体"/>
          <w:b w:val="0"/>
          <w:spacing w:val="0"/>
          <w:w w:val="100"/>
          <w:sz w:val="28"/>
          <w:szCs w:val="28"/>
        </w:rPr>
        <w:t>中国技术经济学会</w:t>
      </w:r>
    </w:p>
    <w:p>
      <w:pPr>
        <w:pStyle w:val="85"/>
        <w:framePr w:w="1054" w:h="646" w:hRule="exact" w:wrap="around" w:vAnchor="page" w:hAnchor="page" w:x="7343" w:y="14847"/>
        <w:spacing w:line="460" w:lineRule="exact"/>
        <w:jc w:val="both"/>
        <w:rPr>
          <w:rFonts w:ascii="Times New Roman" w:hAnsi="Times New Roman" w:eastAsia="方正小标宋简体" w:cs="Times New Roman"/>
          <w:sz w:val="48"/>
          <w:szCs w:val="48"/>
        </w:rPr>
        <w:sectPr>
          <w:headerReference r:id="rId3" w:type="default"/>
          <w:pgSz w:w="11906" w:h="16838"/>
          <w:pgMar w:top="1134" w:right="1134" w:bottom="1134" w:left="1134" w:header="850" w:footer="880" w:gutter="0"/>
          <w:pgBorders>
            <w:top w:val="none" w:sz="0" w:space="0"/>
            <w:left w:val="none" w:sz="0" w:space="0"/>
            <w:bottom w:val="none" w:sz="0" w:space="0"/>
            <w:right w:val="none" w:sz="0" w:space="0"/>
          </w:pgBorders>
          <w:cols w:space="720" w:num="1"/>
          <w:formProt w:val="0"/>
          <w:docGrid w:type="lines" w:linePitch="312" w:charSpace="0"/>
        </w:sectPr>
      </w:pPr>
      <w:r>
        <w:rPr>
          <w:rFonts w:hint="eastAsia" w:ascii="黑体" w:hAnsi="黑体" w:eastAsia="黑体" w:cs="黑体"/>
          <w:b w:val="0"/>
          <w:spacing w:val="0"/>
          <w:w w:val="100"/>
          <w:sz w:val="36"/>
          <w:szCs w:val="36"/>
          <w:lang w:val="en-US" w:eastAsia="zh-CN"/>
        </w:rPr>
        <w:t>发布</w:t>
      </w:r>
    </w:p>
    <w:p>
      <w:pPr>
        <w:rPr>
          <w:rFonts w:ascii="Times New Roman" w:hAnsi="Times New Roman" w:cs="Times New Roman"/>
          <w:szCs w:val="21"/>
        </w:rPr>
      </w:pPr>
    </w:p>
    <w:p>
      <w:pPr>
        <w:rPr>
          <w:rFonts w:ascii="Times New Roman" w:hAnsi="Times New Roman" w:cs="Times New Roman"/>
          <w:szCs w:val="21"/>
        </w:rPr>
      </w:pPr>
      <w:r>
        <w:rPr>
          <w:rFonts w:hint="eastAsia" w:ascii="黑体" w:hAnsi="黑体" w:eastAsia="黑体" w:cs="Times New Roman"/>
          <w:w w:val="99"/>
          <w:sz w:val="28"/>
        </w:rPr>
        <w:t xml:space="preserve"> </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drawing>
          <wp:inline distT="0" distB="0" distL="114300" distR="114300">
            <wp:extent cx="808990" cy="765175"/>
            <wp:effectExtent l="0" t="0" r="63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cstate="print"/>
                    <a:stretch>
                      <a:fillRect/>
                    </a:stretch>
                  </pic:blipFill>
                  <pic:spPr>
                    <a:xfrm>
                      <a:off x="0" y="0"/>
                      <a:ext cx="808990" cy="765175"/>
                    </a:xfrm>
                    <a:prstGeom prst="rect">
                      <a:avLst/>
                    </a:prstGeom>
                    <a:noFill/>
                    <a:ln>
                      <a:noFill/>
                    </a:ln>
                  </pic:spPr>
                </pic:pic>
              </a:graphicData>
            </a:graphic>
          </wp:inline>
        </w:drawing>
      </w:r>
      <w:r>
        <w:rPr>
          <w:rFonts w:ascii="Times New Roman" w:hAnsi="Times New Roman" w:cs="Times New Roman"/>
          <w:szCs w:val="21"/>
        </w:rPr>
        <w:t xml:space="preserve"> </w:t>
      </w:r>
      <w:r>
        <w:rPr>
          <w:rFonts w:ascii="Times New Roman" w:hAnsi="宋体" w:eastAsia="宋体" w:cs="Times New Roman"/>
          <w:szCs w:val="21"/>
        </w:rPr>
        <w:t>版权保护文件</w:t>
      </w:r>
    </w:p>
    <w:p>
      <w:pPr>
        <w:spacing w:before="156" w:beforeLines="50" w:after="156" w:afterLines="50"/>
        <w:ind w:firstLine="420" w:firstLineChars="200"/>
        <w:rPr>
          <w:rFonts w:ascii="Times New Roman" w:hAnsi="Times New Roman" w:eastAsia="宋体" w:cs="Times New Roman"/>
          <w:szCs w:val="21"/>
        </w:rPr>
      </w:pPr>
      <w:r>
        <w:rPr>
          <w:rFonts w:ascii="Times New Roman" w:hAnsi="宋体" w:eastAsia="宋体" w:cs="Times New Roman"/>
          <w:szCs w:val="21"/>
        </w:rPr>
        <w:t>版权所有归属于该标准的发布机构。除非有其他规定，否则未经许可，此发行物及其章节不得以其他形式或任何手段进行复制、再版或使用，包括电子版，影印件，或发布在互联网及内部网络等。使用许可可于发布机构获取。</w:t>
      </w:r>
    </w:p>
    <w:p>
      <w:pPr>
        <w:pStyle w:val="44"/>
        <w:spacing w:before="468" w:beforeLines="150"/>
        <w:rPr>
          <w:rFonts w:ascii="Times New Roman"/>
        </w:rPr>
        <w:sectPr>
          <w:headerReference r:id="rId4" w:type="default"/>
          <w:footerReference r:id="rId5" w:type="default"/>
          <w:pgSz w:w="11906" w:h="16838"/>
          <w:pgMar w:top="1134" w:right="849" w:bottom="1134" w:left="1134" w:header="907" w:footer="880" w:gutter="0"/>
          <w:pgBorders>
            <w:top w:val="none" w:sz="0" w:space="0"/>
            <w:left w:val="none" w:sz="0" w:space="0"/>
            <w:bottom w:val="none" w:sz="0" w:space="0"/>
            <w:right w:val="none" w:sz="0" w:space="0"/>
          </w:pgBorders>
          <w:pgNumType w:fmt="upperRoman" w:start="1"/>
          <w:cols w:space="720" w:num="1"/>
          <w:formProt w:val="0"/>
          <w:docGrid w:type="lines" w:linePitch="312" w:charSpace="0"/>
        </w:sectPr>
      </w:pPr>
    </w:p>
    <w:p>
      <w:pPr>
        <w:spacing w:before="0" w:beforeLines="150" w:after="0" w:afterLines="0"/>
        <w:jc w:val="center"/>
        <w:rPr>
          <w:rFonts w:hint="eastAsia" w:ascii="黑体" w:hAnsi="黑体" w:eastAsia="黑体" w:cs="黑体"/>
          <w:sz w:val="32"/>
          <w:szCs w:val="32"/>
          <w:lang w:val="en-US" w:eastAsia="zh-CN"/>
        </w:rPr>
      </w:pPr>
    </w:p>
    <w:p>
      <w:pPr>
        <w:spacing w:before="300" w:after="560" w:afterLine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次</w:t>
      </w:r>
    </w:p>
    <w:p>
      <w:pPr>
        <w:pStyle w:val="16"/>
        <w:tabs>
          <w:tab w:val="right" w:leader="dot" w:pos="9923"/>
        </w:tabs>
        <w:spacing w:before="0" w:after="0" w:line="30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TOC \o "1-2" \h \u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_Toc5813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前  言</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_Toc5813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II</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9923"/>
        </w:tabs>
        <w:spacing w:before="0" w:after="0" w:line="30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_Toc1077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1 范围</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_Toc1077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9923"/>
        </w:tabs>
        <w:spacing w:before="0" w:after="0" w:line="30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_Toc1929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2 规范性引用文件</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_Toc1929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9923"/>
        </w:tabs>
        <w:spacing w:before="0" w:after="0" w:line="30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_Toc7462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3 术语和定义</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_Toc7462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9923"/>
        </w:tabs>
        <w:spacing w:before="0" w:after="0" w:line="30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_Toc3427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4 评价指标体系</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_Toc3427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9923"/>
        </w:tabs>
        <w:spacing w:before="0" w:after="0" w:line="30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_Toc13711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5 评价方法</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_Toc13711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3</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9923"/>
        </w:tabs>
        <w:spacing w:before="0" w:after="0" w:line="30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_Toc12100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附录</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（规范性）</w:t>
      </w:r>
      <w:r>
        <w:rPr>
          <w:rFonts w:hint="eastAsia" w:ascii="宋体" w:hAnsi="宋体" w:eastAsia="宋体" w:cs="宋体"/>
          <w:b w:val="0"/>
          <w:bCs w:val="0"/>
          <w:sz w:val="21"/>
          <w:szCs w:val="21"/>
          <w:lang w:val="en-US" w:eastAsia="zh-CN"/>
        </w:rPr>
        <w:t>包芯线横截面长轴与短轴之比测试方法</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_Toc12100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5</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
        <w:spacing w:before="0" w:line="300" w:lineRule="auto"/>
        <w:ind w:left="0"/>
        <w:jc w:val="both"/>
        <w:rPr>
          <w:rFonts w:hint="eastAsia" w:ascii="宋体" w:hAnsi="宋体" w:eastAsia="宋体" w:cs="宋体"/>
          <w:kern w:val="0"/>
          <w:sz w:val="21"/>
          <w:szCs w:val="21"/>
          <w:lang w:val="en-US" w:eastAsia="en-US" w:bidi="ar-SA"/>
        </w:rPr>
      </w:pPr>
      <w:r>
        <w:rPr>
          <w:rFonts w:hint="eastAsia" w:cs="宋体"/>
        </w:rPr>
        <w:fldChar w:fldCharType="end"/>
      </w:r>
      <w:r>
        <w:rPr>
          <w:rFonts w:hint="eastAsia" w:cs="宋体"/>
        </w:rPr>
        <w:fldChar w:fldCharType="begin"/>
      </w:r>
      <w:r>
        <w:rPr>
          <w:rFonts w:hint="eastAsia" w:cs="宋体"/>
        </w:rPr>
        <w:instrText xml:space="preserve">TOC \h \c "图A."</w:instrText>
      </w:r>
      <w:r>
        <w:rPr>
          <w:rFonts w:hint="eastAsia" w:cs="宋体"/>
        </w:rPr>
        <w:fldChar w:fldCharType="separate"/>
      </w:r>
    </w:p>
    <w:p>
      <w:pPr>
        <w:pStyle w:val="19"/>
        <w:tabs>
          <w:tab w:val="right" w:leader="dot" w:pos="9923"/>
        </w:tabs>
        <w:spacing w:line="300" w:lineRule="auto"/>
        <w:ind w:leftChars="0" w:firstLine="0" w:firstLineChars="0"/>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_Toc3891 </w:instrText>
      </w:r>
      <w:r>
        <w:rPr>
          <w:rFonts w:hint="eastAsia" w:ascii="宋体" w:hAnsi="宋体" w:eastAsia="宋体" w:cs="宋体"/>
          <w:szCs w:val="21"/>
        </w:rPr>
        <w:fldChar w:fldCharType="separate"/>
      </w:r>
      <w:r>
        <w:rPr>
          <w:rFonts w:hint="eastAsia" w:ascii="宋体" w:hAnsi="宋体" w:eastAsia="宋体" w:cs="宋体"/>
          <w:szCs w:val="21"/>
        </w:rPr>
        <w:t xml:space="preserve">图A.1 </w:t>
      </w:r>
      <w:r>
        <w:rPr>
          <w:rFonts w:hint="eastAsia" w:ascii="宋体" w:hAnsi="宋体" w:eastAsia="宋体" w:cs="宋体"/>
          <w:szCs w:val="21"/>
          <w:lang w:val="en-US" w:eastAsia="zh-CN"/>
        </w:rPr>
        <w:t xml:space="preserve">  </w:t>
      </w:r>
      <w:r>
        <w:rPr>
          <w:rFonts w:hint="eastAsia" w:ascii="宋体" w:hAnsi="宋体" w:eastAsia="宋体" w:cs="宋体"/>
          <w:kern w:val="0"/>
          <w:szCs w:val="21"/>
          <w:lang w:val="en-US" w:eastAsia="zh-CN" w:bidi="ar"/>
        </w:rPr>
        <w:t>包芯线直径测量示意图</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_Toc3891 \h </w:instrText>
      </w:r>
      <w:r>
        <w:rPr>
          <w:rFonts w:hint="eastAsia" w:ascii="宋体" w:hAnsi="宋体" w:eastAsia="宋体" w:cs="宋体"/>
          <w:szCs w:val="21"/>
        </w:rPr>
        <w:fldChar w:fldCharType="separate"/>
      </w:r>
      <w:r>
        <w:rPr>
          <w:rFonts w:hint="eastAsia" w:ascii="宋体" w:hAnsi="宋体" w:eastAsia="宋体" w:cs="宋体"/>
          <w:szCs w:val="21"/>
        </w:rPr>
        <w:t>5</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spacing w:before="0" w:line="300" w:lineRule="auto"/>
        <w:ind w:left="0"/>
        <w:jc w:val="both"/>
        <w:rPr>
          <w:rFonts w:hint="eastAsia" w:ascii="宋体" w:hAnsi="宋体" w:eastAsia="宋体" w:cs="宋体"/>
          <w:kern w:val="0"/>
          <w:sz w:val="21"/>
          <w:szCs w:val="21"/>
          <w:lang w:val="en-US" w:eastAsia="en-US" w:bidi="ar-SA"/>
        </w:rPr>
      </w:pPr>
      <w:r>
        <w:rPr>
          <w:rFonts w:hint="eastAsia" w:cs="宋体"/>
        </w:rPr>
        <w:fldChar w:fldCharType="end"/>
      </w:r>
      <w:r>
        <w:rPr>
          <w:rFonts w:hint="eastAsia" w:cs="宋体"/>
        </w:rPr>
        <w:fldChar w:fldCharType="begin"/>
      </w:r>
      <w:r>
        <w:rPr>
          <w:rFonts w:hint="eastAsia" w:cs="宋体"/>
        </w:rPr>
        <w:instrText xml:space="preserve">TOC \h \c "表"</w:instrText>
      </w:r>
      <w:r>
        <w:rPr>
          <w:rFonts w:hint="eastAsia" w:cs="宋体"/>
        </w:rPr>
        <w:fldChar w:fldCharType="separate"/>
      </w:r>
    </w:p>
    <w:p>
      <w:pPr>
        <w:pStyle w:val="19"/>
        <w:tabs>
          <w:tab w:val="right" w:leader="dot" w:pos="9923"/>
        </w:tabs>
        <w:spacing w:line="300" w:lineRule="auto"/>
        <w:ind w:leftChars="0" w:firstLine="0" w:firstLineChars="0"/>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_Toc10626 </w:instrText>
      </w:r>
      <w:r>
        <w:rPr>
          <w:rFonts w:hint="eastAsia" w:ascii="宋体" w:hAnsi="宋体" w:eastAsia="宋体" w:cs="宋体"/>
          <w:szCs w:val="21"/>
        </w:rPr>
        <w:fldChar w:fldCharType="separate"/>
      </w:r>
      <w:r>
        <w:rPr>
          <w:rFonts w:hint="eastAsia" w:ascii="宋体" w:hAnsi="宋体" w:eastAsia="宋体" w:cs="宋体"/>
          <w:szCs w:val="21"/>
        </w:rPr>
        <w:t xml:space="preserve">表 1 </w:t>
      </w:r>
      <w:r>
        <w:rPr>
          <w:rFonts w:hint="eastAsia" w:ascii="宋体" w:hAnsi="宋体" w:eastAsia="宋体" w:cs="宋体"/>
          <w:szCs w:val="21"/>
          <w:lang w:val="en-US" w:eastAsia="zh-CN"/>
        </w:rPr>
        <w:t xml:space="preserve">  球墨铸铁用球化包芯线</w:t>
      </w:r>
      <w:r>
        <w:rPr>
          <w:rFonts w:hint="eastAsia" w:ascii="宋体" w:hAnsi="宋体" w:eastAsia="宋体" w:cs="宋体"/>
          <w:szCs w:val="21"/>
        </w:rPr>
        <w:t>评价指标体系框架</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_Toc10626 \h </w:instrText>
      </w:r>
      <w:r>
        <w:rPr>
          <w:rFonts w:hint="eastAsia" w:ascii="宋体" w:hAnsi="宋体" w:eastAsia="宋体" w:cs="宋体"/>
          <w:szCs w:val="21"/>
        </w:rPr>
        <w:fldChar w:fldCharType="separate"/>
      </w:r>
      <w:r>
        <w:rPr>
          <w:rFonts w:hint="eastAsia" w:ascii="宋体" w:hAnsi="宋体" w:eastAsia="宋体" w:cs="宋体"/>
          <w:szCs w:val="21"/>
        </w:rPr>
        <w:t>2</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
        <w:spacing w:before="0" w:beforeLines="150" w:line="300" w:lineRule="auto"/>
        <w:ind w:left="0"/>
        <w:jc w:val="both"/>
      </w:pPr>
      <w:r>
        <w:rPr>
          <w:rFonts w:hint="eastAsia" w:cs="宋体"/>
        </w:rPr>
        <w:fldChar w:fldCharType="end"/>
      </w:r>
    </w:p>
    <w:p>
      <w:pPr>
        <w:pStyle w:val="2"/>
        <w:spacing w:before="468" w:beforeLines="150"/>
        <w:rPr>
          <w:rFonts w:ascii="Times New Roman"/>
        </w:rPr>
      </w:pPr>
    </w:p>
    <w:p>
      <w:pPr>
        <w:pStyle w:val="2"/>
        <w:spacing w:before="468" w:beforeLines="150"/>
        <w:rPr>
          <w:rFonts w:ascii="Times New Roman"/>
        </w:rPr>
      </w:pPr>
    </w:p>
    <w:p>
      <w:pPr>
        <w:pStyle w:val="2"/>
        <w:spacing w:before="468" w:beforeLines="150"/>
        <w:rPr>
          <w:rFonts w:ascii="Times New Roman"/>
        </w:rPr>
        <w:sectPr>
          <w:pgSz w:w="11906" w:h="16838"/>
          <w:pgMar w:top="1134" w:right="849" w:bottom="1134" w:left="1134" w:header="907" w:footer="880" w:gutter="0"/>
          <w:pgBorders>
            <w:top w:val="none" w:sz="0" w:space="0"/>
            <w:left w:val="none" w:sz="0" w:space="0"/>
            <w:bottom w:val="none" w:sz="0" w:space="0"/>
            <w:right w:val="none" w:sz="0" w:space="0"/>
          </w:pgBorders>
          <w:pgNumType w:fmt="upperRoman" w:start="1"/>
          <w:cols w:space="720" w:num="1"/>
          <w:formProt w:val="0"/>
          <w:docGrid w:type="lines" w:linePitch="312" w:charSpace="0"/>
        </w:sectPr>
      </w:pPr>
    </w:p>
    <w:p>
      <w:pPr>
        <w:pStyle w:val="2"/>
        <w:spacing w:before="468" w:beforeLines="150"/>
      </w:pPr>
    </w:p>
    <w:p>
      <w:pPr>
        <w:pStyle w:val="44"/>
        <w:spacing w:before="468" w:beforeLines="150"/>
        <w:rPr>
          <w:rFonts w:ascii="Times New Roman"/>
        </w:rPr>
      </w:pPr>
      <w:bookmarkStart w:id="10" w:name="_Toc5813"/>
      <w:bookmarkStart w:id="11" w:name="_Toc9669"/>
      <w:r>
        <w:rPr>
          <w:rFonts w:ascii="Times New Roman"/>
        </w:rPr>
        <w:t>前</w:t>
      </w:r>
      <w:bookmarkStart w:id="12" w:name="BKQY"/>
      <w:r>
        <w:rPr>
          <w:rFonts w:ascii="Times New Roman"/>
        </w:rPr>
        <w:t>  言</w:t>
      </w:r>
      <w:bookmarkEnd w:id="4"/>
      <w:bookmarkEnd w:id="5"/>
      <w:bookmarkEnd w:id="6"/>
      <w:bookmarkEnd w:id="7"/>
      <w:bookmarkEnd w:id="8"/>
      <w:bookmarkEnd w:id="9"/>
      <w:bookmarkEnd w:id="10"/>
      <w:bookmarkEnd w:id="11"/>
      <w:bookmarkEnd w:id="12"/>
    </w:p>
    <w:p>
      <w:pPr>
        <w:spacing w:beforeLines="0" w:afterLines="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本文件按照</w:t>
      </w:r>
      <w:r>
        <w:rPr>
          <w:rFonts w:ascii="Times New Roman" w:hAnsi="Times New Roman" w:eastAsia="宋体" w:cs="Times New Roman"/>
          <w:szCs w:val="21"/>
        </w:rPr>
        <w:t>GB/T 1.1</w:t>
      </w:r>
      <w:r>
        <w:rPr>
          <w:rFonts w:hint="eastAsia" w:ascii="Times New Roman" w:hAnsi="Times New Roman" w:eastAsia="宋体" w:cs="Times New Roman"/>
          <w:szCs w:val="21"/>
        </w:rPr>
        <w:t>-</w:t>
      </w:r>
      <w:r>
        <w:rPr>
          <w:rFonts w:ascii="Times New Roman" w:hAnsi="Times New Roman" w:eastAsia="宋体" w:cs="Times New Roman"/>
          <w:szCs w:val="21"/>
        </w:rPr>
        <w:t>2020</w:t>
      </w:r>
      <w:r>
        <w:rPr>
          <w:rFonts w:ascii="Times New Roman" w:hAnsi="宋体" w:eastAsia="宋体" w:cs="Times New Roman"/>
          <w:szCs w:val="21"/>
        </w:rPr>
        <w:t>《标准化工作导则</w:t>
      </w:r>
      <w:r>
        <w:rPr>
          <w:rFonts w:ascii="Times New Roman" w:hAnsi="Times New Roman" w:eastAsia="宋体" w:cs="Times New Roman"/>
          <w:szCs w:val="21"/>
        </w:rPr>
        <w:t xml:space="preserve">  </w:t>
      </w:r>
      <w:r>
        <w:rPr>
          <w:rFonts w:ascii="Times New Roman" w:hAnsi="宋体" w:eastAsia="宋体" w:cs="Times New Roman"/>
          <w:szCs w:val="21"/>
        </w:rPr>
        <w:t>第</w:t>
      </w:r>
      <w:r>
        <w:rPr>
          <w:rFonts w:ascii="Times New Roman" w:hAnsi="Times New Roman" w:eastAsia="宋体" w:cs="Times New Roman"/>
          <w:szCs w:val="21"/>
        </w:rPr>
        <w:t>1</w:t>
      </w:r>
      <w:r>
        <w:rPr>
          <w:rFonts w:ascii="Times New Roman" w:hAnsi="宋体" w:eastAsia="宋体" w:cs="Times New Roman"/>
          <w:szCs w:val="21"/>
        </w:rPr>
        <w:t>部分：标准化文件的结构和起草规则》和</w:t>
      </w:r>
      <w:r>
        <w:rPr>
          <w:rFonts w:ascii="Times New Roman" w:hAnsi="Times New Roman" w:eastAsia="宋体" w:cs="Times New Roman"/>
          <w:szCs w:val="21"/>
        </w:rPr>
        <w:t>T/CAQP 015</w:t>
      </w:r>
      <w:r>
        <w:rPr>
          <w:rFonts w:hint="eastAsia" w:ascii="Times New Roman" w:hAnsi="Times New Roman" w:eastAsia="宋体" w:cs="Times New Roman"/>
          <w:szCs w:val="21"/>
        </w:rPr>
        <w:t>-</w:t>
      </w:r>
      <w:r>
        <w:rPr>
          <w:rFonts w:ascii="Times New Roman" w:hAnsi="Times New Roman" w:eastAsia="宋体" w:cs="Times New Roman"/>
          <w:szCs w:val="21"/>
        </w:rPr>
        <w:t>2020/T/ESF 0001</w:t>
      </w:r>
      <w:r>
        <w:rPr>
          <w:rFonts w:hint="eastAsia" w:ascii="Times New Roman" w:hAnsi="Times New Roman" w:eastAsia="宋体" w:cs="Times New Roman"/>
          <w:szCs w:val="21"/>
        </w:rPr>
        <w:t>-</w:t>
      </w:r>
      <w:r>
        <w:rPr>
          <w:rFonts w:ascii="Times New Roman" w:hAnsi="Times New Roman" w:eastAsia="宋体" w:cs="Times New Roman"/>
          <w:szCs w:val="21"/>
        </w:rPr>
        <w:t xml:space="preserve">2020 </w:t>
      </w:r>
      <w:r>
        <w:rPr>
          <w:rFonts w:ascii="Times New Roman" w:hAnsi="宋体" w:eastAsia="宋体" w:cs="Times New Roman"/>
          <w:szCs w:val="21"/>
        </w:rPr>
        <w:t>《</w:t>
      </w:r>
      <w:r>
        <w:rPr>
          <w:rFonts w:ascii="Times New Roman" w:hAnsi="Times New Roman" w:eastAsia="宋体" w:cs="Times New Roman"/>
          <w:szCs w:val="21"/>
        </w:rPr>
        <w:t>“</w:t>
      </w:r>
      <w:r>
        <w:rPr>
          <w:rFonts w:ascii="Times New Roman" w:hAnsi="宋体" w:eastAsia="宋体" w:cs="Times New Roman"/>
          <w:szCs w:val="21"/>
        </w:rPr>
        <w:t>领跑者</w:t>
      </w:r>
      <w:r>
        <w:rPr>
          <w:rFonts w:ascii="Times New Roman" w:hAnsi="Times New Roman" w:eastAsia="宋体" w:cs="Times New Roman"/>
          <w:szCs w:val="21"/>
        </w:rPr>
        <w:t>”</w:t>
      </w:r>
      <w:r>
        <w:rPr>
          <w:rFonts w:ascii="Times New Roman" w:hAnsi="宋体" w:eastAsia="宋体" w:cs="Times New Roman"/>
          <w:szCs w:val="21"/>
        </w:rPr>
        <w:t>标准编制通则》的规定起草。</w:t>
      </w:r>
    </w:p>
    <w:p>
      <w:pPr>
        <w:autoSpaceDE w:val="0"/>
        <w:autoSpaceDN w:val="0"/>
        <w:adjustRightInd w:val="0"/>
        <w:spacing w:beforeLines="0" w:afterLines="0" w:line="360" w:lineRule="auto"/>
        <w:ind w:firstLine="420" w:firstLineChars="200"/>
        <w:rPr>
          <w:rFonts w:ascii="Times New Roman" w:hAnsi="Times New Roman" w:eastAsia="宋体" w:cs="Times New Roman"/>
          <w:kern w:val="0"/>
        </w:rPr>
      </w:pPr>
      <w:r>
        <w:rPr>
          <w:rFonts w:ascii="Times New Roman" w:hAnsi="宋体" w:eastAsia="宋体" w:cs="Times New Roman"/>
          <w:kern w:val="0"/>
        </w:rPr>
        <w:t>请注意本文件的某些内容可能涉及专利。本文件的发布机构不承担识别专利的责任。</w:t>
      </w:r>
    </w:p>
    <w:p>
      <w:pPr>
        <w:spacing w:beforeLines="0" w:afterLines="0" w:line="360" w:lineRule="auto"/>
        <w:ind w:firstLine="420" w:firstLineChars="200"/>
        <w:rPr>
          <w:rFonts w:ascii="Times New Roman" w:hAnsi="Times New Roman" w:eastAsia="宋体" w:cs="Times New Roman"/>
        </w:rPr>
      </w:pPr>
      <w:r>
        <w:rPr>
          <w:rFonts w:ascii="Times New Roman" w:hAnsi="宋体" w:eastAsia="宋体" w:cs="Times New Roman"/>
        </w:rPr>
        <w:t>本文件由企业标准</w:t>
      </w:r>
      <w:r>
        <w:rPr>
          <w:rFonts w:ascii="Times New Roman" w:hAnsi="Times New Roman" w:eastAsia="宋体" w:cs="Times New Roman"/>
        </w:rPr>
        <w:t>“</w:t>
      </w:r>
      <w:r>
        <w:rPr>
          <w:rFonts w:ascii="Times New Roman" w:hAnsi="宋体" w:eastAsia="宋体" w:cs="Times New Roman"/>
        </w:rPr>
        <w:t>领跑者</w:t>
      </w:r>
      <w:r>
        <w:rPr>
          <w:rFonts w:ascii="Times New Roman" w:hAnsi="Times New Roman" w:eastAsia="宋体" w:cs="Times New Roman"/>
        </w:rPr>
        <w:t>”</w:t>
      </w:r>
      <w:r>
        <w:rPr>
          <w:rFonts w:ascii="Times New Roman" w:hAnsi="宋体" w:eastAsia="宋体" w:cs="Times New Roman"/>
        </w:rPr>
        <w:t>工作委员会提出</w:t>
      </w:r>
    </w:p>
    <w:p>
      <w:pPr>
        <w:spacing w:beforeLines="0" w:afterLines="0" w:line="360" w:lineRule="auto"/>
        <w:ind w:firstLine="420" w:firstLineChars="200"/>
        <w:jc w:val="left"/>
        <w:rPr>
          <w:rFonts w:ascii="Times New Roman" w:hAnsi="Times New Roman" w:eastAsia="宋体" w:cs="Times New Roman"/>
        </w:rPr>
      </w:pPr>
      <w:r>
        <w:rPr>
          <w:rFonts w:ascii="Times New Roman" w:hAnsi="宋体" w:eastAsia="宋体" w:cs="Times New Roman"/>
        </w:rPr>
        <w:t>本文件由</w:t>
      </w:r>
      <w:r>
        <w:rPr>
          <w:rFonts w:hint="eastAsia" w:ascii="Times New Roman" w:hAnsi="宋体" w:eastAsia="宋体" w:cs="Times New Roman"/>
        </w:rPr>
        <w:t>中国铸造协会</w:t>
      </w:r>
      <w:r>
        <w:rPr>
          <w:rFonts w:hint="eastAsia" w:ascii="Times New Roman" w:hAnsi="宋体" w:eastAsia="宋体" w:cs="Times New Roman"/>
          <w:lang w:eastAsia="zh-CN"/>
        </w:rPr>
        <w:t>、</w:t>
      </w:r>
      <w:r>
        <w:rPr>
          <w:rFonts w:hint="eastAsia" w:ascii="Times New Roman" w:hAnsi="宋体" w:eastAsia="宋体" w:cs="Times New Roman"/>
          <w:lang w:val="en-US" w:eastAsia="zh-CN"/>
        </w:rPr>
        <w:t>中国技术经济学会</w:t>
      </w:r>
      <w:r>
        <w:rPr>
          <w:rFonts w:ascii="Times New Roman" w:hAnsi="宋体" w:eastAsia="宋体" w:cs="Times New Roman"/>
        </w:rPr>
        <w:t>归口。</w:t>
      </w:r>
    </w:p>
    <w:p>
      <w:pPr>
        <w:spacing w:beforeLines="0" w:afterLines="0" w:line="360" w:lineRule="auto"/>
        <w:ind w:firstLine="420" w:firstLineChars="200"/>
        <w:rPr>
          <w:rFonts w:ascii="Times New Roman" w:hAnsi="宋体" w:eastAsia="宋体" w:cs="Times New Roman"/>
        </w:rPr>
      </w:pPr>
      <w:r>
        <w:rPr>
          <w:rFonts w:ascii="Times New Roman" w:hAnsi="宋体" w:eastAsia="宋体" w:cs="Times New Roman"/>
        </w:rPr>
        <w:t>本文件起草单位：</w:t>
      </w:r>
    </w:p>
    <w:p>
      <w:pPr>
        <w:spacing w:beforeLines="0" w:afterLines="0" w:line="360" w:lineRule="auto"/>
        <w:ind w:firstLine="420" w:firstLineChars="200"/>
        <w:rPr>
          <w:rFonts w:ascii="Times New Roman" w:hAnsi="Times New Roman" w:eastAsia="宋体" w:cs="Times New Roman"/>
        </w:rPr>
      </w:pPr>
      <w:r>
        <w:rPr>
          <w:rFonts w:ascii="Times New Roman" w:hAnsi="宋体" w:eastAsia="宋体" w:cs="Times New Roman"/>
        </w:rPr>
        <w:t>本文件主要起草人：</w:t>
      </w:r>
    </w:p>
    <w:p>
      <w:pPr>
        <w:spacing w:beforeLines="0" w:afterLines="0" w:line="360" w:lineRule="auto"/>
        <w:ind w:firstLine="420" w:firstLineChars="200"/>
        <w:rPr>
          <w:rFonts w:ascii="Times New Roman" w:hAnsi="Times New Roman" w:eastAsia="宋体" w:cs="Times New Roman"/>
          <w:szCs w:val="21"/>
        </w:rPr>
      </w:pPr>
      <w:bookmarkStart w:id="13" w:name="_Toc65687977"/>
      <w:r>
        <w:rPr>
          <w:rFonts w:ascii="Times New Roman" w:hAnsi="宋体" w:eastAsia="宋体" w:cs="Times New Roman"/>
          <w:szCs w:val="21"/>
        </w:rPr>
        <w:t>本文件为首次发布。</w:t>
      </w:r>
    </w:p>
    <w:p>
      <w:pPr>
        <w:pStyle w:val="60"/>
        <w:spacing w:before="0" w:beforeLines="0" w:after="0" w:afterLines="0" w:line="360" w:lineRule="auto"/>
        <w:outlineLvl w:val="9"/>
        <w:rPr>
          <w:rFonts w:ascii="Times New Roman"/>
        </w:rPr>
        <w:sectPr>
          <w:pgSz w:w="11906" w:h="16838"/>
          <w:pgMar w:top="1134" w:right="849" w:bottom="1134" w:left="1134" w:header="907" w:footer="880" w:gutter="0"/>
          <w:pgBorders>
            <w:top w:val="none" w:sz="0" w:space="0"/>
            <w:left w:val="none" w:sz="0" w:space="0"/>
            <w:bottom w:val="none" w:sz="0" w:space="0"/>
            <w:right w:val="none" w:sz="0" w:space="0"/>
          </w:pgBorders>
          <w:pgNumType w:fmt="upperRoman" w:start="1"/>
          <w:cols w:space="720" w:num="1"/>
          <w:formProt w:val="0"/>
          <w:docGrid w:type="lines" w:linePitch="312" w:charSpace="0"/>
        </w:sectPr>
      </w:pPr>
    </w:p>
    <w:bookmarkEnd w:id="13"/>
    <w:p>
      <w:pPr>
        <w:pStyle w:val="60"/>
        <w:spacing w:before="468" w:beforeLines="150" w:after="312" w:afterLines="100"/>
        <w:outlineLvl w:val="9"/>
        <w:rPr>
          <w:rFonts w:hint="default" w:ascii="Times New Roman" w:eastAsia="黑体"/>
          <w:lang w:val="en-US" w:eastAsia="zh-CN"/>
        </w:rPr>
      </w:pPr>
      <w:r>
        <w:rPr>
          <w:rFonts w:hint="eastAsia" w:ascii="Times New Roman" w:hAnsi="黑体" w:eastAsia="黑体" w:cs="Times New Roman"/>
          <w:b/>
          <w:bCs/>
          <w:spacing w:val="40"/>
          <w:kern w:val="0"/>
          <w:sz w:val="48"/>
          <w:szCs w:val="48"/>
          <w:lang w:val="en-US" w:eastAsia="zh-CN"/>
        </w:rPr>
        <w:t xml:space="preserve"> </w:t>
      </w:r>
      <w:bookmarkStart w:id="14" w:name="_Toc27730"/>
      <w:bookmarkStart w:id="15" w:name="_Toc30528"/>
      <w:r>
        <w:rPr>
          <w:rFonts w:hint="eastAsia" w:ascii="Times New Roman"/>
          <w:lang w:val="en-US" w:eastAsia="zh-CN"/>
        </w:rPr>
        <w:t>质量分级及“领跑者”评价要求</w:t>
      </w:r>
      <w:r>
        <w:rPr>
          <w:rFonts w:hint="eastAsia" w:ascii="Times New Roman" w:hAnsi="黑体" w:eastAsia="黑体" w:cs="Times New Roman"/>
          <w:b/>
          <w:bCs/>
          <w:spacing w:val="40"/>
          <w:kern w:val="0"/>
          <w:sz w:val="48"/>
          <w:szCs w:val="48"/>
          <w:lang w:val="en-US" w:eastAsia="zh-CN"/>
        </w:rPr>
        <w:t xml:space="preserve"> </w:t>
      </w:r>
      <w:r>
        <w:rPr>
          <w:rFonts w:hint="eastAsia" w:ascii="Times New Roman"/>
          <w:lang w:val="en-US" w:eastAsia="zh-CN"/>
        </w:rPr>
        <w:t>球墨铸铁用球化包芯线</w:t>
      </w:r>
      <w:bookmarkEnd w:id="14"/>
      <w:bookmarkEnd w:id="15"/>
    </w:p>
    <w:p>
      <w:pPr>
        <w:pStyle w:val="3"/>
        <w:spacing w:before="0" w:after="0"/>
        <w:rPr>
          <w:rFonts w:ascii="Times New Roman" w:hAnsi="Times New Roman" w:eastAsia="黑体" w:cs="Times New Roman"/>
          <w:b w:val="0"/>
          <w:sz w:val="21"/>
          <w:szCs w:val="21"/>
        </w:rPr>
      </w:pPr>
      <w:bookmarkStart w:id="16" w:name="_Toc385601798"/>
      <w:bookmarkStart w:id="17" w:name="_Toc385602847"/>
      <w:bookmarkStart w:id="18" w:name="_Toc65687978"/>
      <w:bookmarkStart w:id="19" w:name="_Toc415043549"/>
      <w:bookmarkStart w:id="20" w:name="_Toc23920"/>
      <w:bookmarkStart w:id="21" w:name="_Toc1077"/>
      <w:bookmarkStart w:id="22" w:name="_Toc27995"/>
      <w:bookmarkStart w:id="23" w:name="_Toc415043488"/>
      <w:bookmarkStart w:id="24" w:name="_Toc415043895"/>
      <w:r>
        <w:rPr>
          <w:rFonts w:ascii="Times New Roman" w:hAnsi="Times New Roman" w:eastAsia="黑体" w:cs="Times New Roman"/>
          <w:b w:val="0"/>
          <w:sz w:val="21"/>
          <w:szCs w:val="21"/>
        </w:rPr>
        <w:t xml:space="preserve">1 </w:t>
      </w:r>
      <w:r>
        <w:rPr>
          <w:rFonts w:ascii="Times New Roman" w:hAnsi="黑体" w:eastAsia="黑体" w:cs="Times New Roman"/>
          <w:b w:val="0"/>
          <w:sz w:val="21"/>
          <w:szCs w:val="21"/>
        </w:rPr>
        <w:t>范围</w:t>
      </w:r>
      <w:bookmarkEnd w:id="16"/>
      <w:bookmarkEnd w:id="17"/>
      <w:bookmarkEnd w:id="18"/>
      <w:bookmarkEnd w:id="19"/>
      <w:bookmarkEnd w:id="20"/>
      <w:bookmarkEnd w:id="21"/>
      <w:bookmarkEnd w:id="22"/>
      <w:bookmarkEnd w:id="23"/>
      <w:bookmarkEnd w:id="24"/>
    </w:p>
    <w:p>
      <w:pPr>
        <w:spacing w:line="300" w:lineRule="auto"/>
        <w:ind w:firstLine="420" w:firstLineChars="200"/>
        <w:rPr>
          <w:rFonts w:hint="eastAsia" w:ascii="Times New Roman" w:hAnsi="Times New Roman" w:cs="Times New Roman"/>
        </w:rPr>
      </w:pPr>
      <w:bookmarkStart w:id="25" w:name="_Toc65687979"/>
      <w:bookmarkStart w:id="26" w:name="_Toc415043896"/>
      <w:bookmarkStart w:id="27" w:name="_Toc17469"/>
      <w:bookmarkStart w:id="28" w:name="_Toc415043489"/>
      <w:bookmarkStart w:id="29" w:name="_Toc385601799"/>
      <w:bookmarkStart w:id="30" w:name="_Toc385602848"/>
      <w:bookmarkStart w:id="31" w:name="_Toc415043550"/>
      <w:r>
        <w:rPr>
          <w:rFonts w:hint="eastAsia" w:ascii="Times New Roman" w:hAnsi="Times New Roman" w:cs="Times New Roman"/>
        </w:rPr>
        <w:t>本文件规定了</w:t>
      </w:r>
      <w:r>
        <w:rPr>
          <w:rFonts w:hint="eastAsia" w:ascii="Times New Roman" w:hAnsi="Times New Roman" w:cs="Times New Roman"/>
          <w:lang w:val="en-US" w:eastAsia="zh-CN"/>
        </w:rPr>
        <w:t>球墨铸铁用球化包芯线</w:t>
      </w:r>
      <w:r>
        <w:rPr>
          <w:rFonts w:hint="eastAsia" w:ascii="Times New Roman" w:hAnsi="Times New Roman" w:cs="Times New Roman"/>
        </w:rPr>
        <w:t>“领跑者”标准评价的术语和定义、评价指标体系和评价方法。</w:t>
      </w:r>
    </w:p>
    <w:p>
      <w:pPr>
        <w:spacing w:line="300" w:lineRule="auto"/>
        <w:ind w:firstLine="420" w:firstLineChars="200"/>
        <w:rPr>
          <w:rFonts w:hint="eastAsia" w:ascii="Times New Roman" w:hAnsi="Times New Roman" w:cs="Times New Roman"/>
        </w:rPr>
      </w:pPr>
      <w:r>
        <w:rPr>
          <w:rFonts w:hint="eastAsia" w:ascii="Times New Roman" w:hAnsi="Times New Roman" w:cs="Times New Roman"/>
        </w:rPr>
        <w:t>本文件适用于</w:t>
      </w:r>
      <w:r>
        <w:rPr>
          <w:rFonts w:hint="eastAsia" w:ascii="Times New Roman" w:hAnsi="Times New Roman" w:cs="Times New Roman"/>
          <w:lang w:val="en-US" w:eastAsia="zh-CN"/>
        </w:rPr>
        <w:t>球墨铸铁</w:t>
      </w:r>
      <w:r>
        <w:rPr>
          <w:rFonts w:hint="eastAsia" w:ascii="Times New Roman" w:hAnsi="Times New Roman" w:cs="Times New Roman"/>
        </w:rPr>
        <w:t>用</w:t>
      </w:r>
      <w:r>
        <w:rPr>
          <w:rFonts w:hint="eastAsia" w:ascii="Times New Roman" w:hAnsi="Times New Roman" w:cs="Times New Roman"/>
          <w:lang w:val="en-US" w:eastAsia="zh-CN"/>
        </w:rPr>
        <w:t>球化包芯线</w:t>
      </w:r>
      <w:r>
        <w:rPr>
          <w:rFonts w:hint="eastAsia" w:ascii="Times New Roman" w:hAnsi="Times New Roman" w:cs="Times New Roman"/>
        </w:rPr>
        <w:t>产品企业标准评价。相关机构在制定企业标准“领跑者”评估方案时可参考使用，企业在制定企业标准时可参照使用。</w:t>
      </w:r>
    </w:p>
    <w:p>
      <w:pPr>
        <w:pStyle w:val="3"/>
        <w:spacing w:before="0" w:after="0"/>
        <w:rPr>
          <w:rFonts w:ascii="Times New Roman" w:hAnsi="Times New Roman" w:eastAsia="黑体" w:cs="Times New Roman"/>
          <w:b w:val="0"/>
          <w:sz w:val="21"/>
          <w:szCs w:val="21"/>
        </w:rPr>
      </w:pPr>
      <w:bookmarkStart w:id="32" w:name="_Toc26017"/>
      <w:bookmarkStart w:id="33" w:name="_Toc1929"/>
      <w:r>
        <w:rPr>
          <w:rFonts w:ascii="Times New Roman" w:hAnsi="Times New Roman" w:eastAsia="黑体" w:cs="Times New Roman"/>
          <w:b w:val="0"/>
          <w:sz w:val="21"/>
          <w:szCs w:val="21"/>
        </w:rPr>
        <w:t xml:space="preserve">2 </w:t>
      </w:r>
      <w:r>
        <w:rPr>
          <w:rFonts w:ascii="Times New Roman" w:hAnsi="黑体" w:eastAsia="黑体" w:cs="Times New Roman"/>
          <w:b w:val="0"/>
          <w:sz w:val="21"/>
          <w:szCs w:val="21"/>
        </w:rPr>
        <w:t>规范性引用文件</w:t>
      </w:r>
      <w:bookmarkEnd w:id="25"/>
      <w:bookmarkEnd w:id="26"/>
      <w:bookmarkEnd w:id="27"/>
      <w:bookmarkEnd w:id="28"/>
      <w:bookmarkEnd w:id="29"/>
      <w:bookmarkEnd w:id="30"/>
      <w:bookmarkEnd w:id="31"/>
      <w:bookmarkEnd w:id="32"/>
      <w:bookmarkEnd w:id="33"/>
    </w:p>
    <w:p>
      <w:pPr>
        <w:spacing w:line="300" w:lineRule="auto"/>
        <w:ind w:firstLine="420" w:firstLineChars="200"/>
        <w:rPr>
          <w:rFonts w:ascii="Times New Roman" w:hAnsi="Times New Roman" w:cs="Times New Roman"/>
        </w:rPr>
      </w:pPr>
      <w:r>
        <w:rPr>
          <w:rFonts w:ascii="Times New Roman" w:hAnsi="Times New Roman" w:cs="Times New Roman"/>
        </w:rPr>
        <w:t>下列文件中的内容通过文中的规范性引用而构成本文件必不可少的条款。其中，注日期的引用文件，仅该日期对应的版本适用于本文件；凡是不注日期的引用文件，其最新版本（包括所有的修改单）适用于本文</w:t>
      </w:r>
      <w:bookmarkStart w:id="34" w:name="_Toc19706"/>
      <w:bookmarkStart w:id="35" w:name="_Toc385602849"/>
      <w:bookmarkStart w:id="36" w:name="_Toc415043490"/>
      <w:bookmarkStart w:id="37" w:name="_Toc415043897"/>
      <w:bookmarkStart w:id="38" w:name="_Toc415043551"/>
      <w:bookmarkStart w:id="39" w:name="_Toc65687980"/>
    </w:p>
    <w:p>
      <w:pPr>
        <w:spacing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lang w:val="en-US" w:eastAsia="zh-CN"/>
        </w:rPr>
        <w:t xml:space="preserve">GB/T 5611  铸造术语 </w:t>
      </w:r>
    </w:p>
    <w:p>
      <w:pPr>
        <w:spacing w:line="300" w:lineRule="auto"/>
        <w:ind w:firstLine="420" w:firstLineChars="200"/>
        <w:rPr>
          <w:rFonts w:ascii="Times New Roman" w:hAnsi="Times New Roman" w:cs="Times New Roman"/>
          <w:highlight w:val="none"/>
        </w:rPr>
      </w:pPr>
      <w:r>
        <w:rPr>
          <w:rFonts w:ascii="Times New Roman" w:hAnsi="Times New Roman" w:cs="Times New Roman"/>
          <w:highlight w:val="none"/>
        </w:rPr>
        <w:t>GB/T 19001</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质量管理体系 要求</w:t>
      </w:r>
    </w:p>
    <w:p>
      <w:pPr>
        <w:spacing w:line="300" w:lineRule="auto"/>
        <w:ind w:firstLine="420" w:firstLineChars="200"/>
        <w:rPr>
          <w:rFonts w:ascii="Times New Roman" w:hAnsi="Times New Roman" w:cs="Times New Roman"/>
          <w:highlight w:val="none"/>
        </w:rPr>
      </w:pPr>
      <w:r>
        <w:rPr>
          <w:rFonts w:ascii="Times New Roman" w:hAnsi="Times New Roman" w:cs="Times New Roman"/>
          <w:highlight w:val="none"/>
        </w:rPr>
        <w:t>GB/T 24001</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环境管理体系 要求</w:t>
      </w:r>
    </w:p>
    <w:p>
      <w:pPr>
        <w:spacing w:line="300" w:lineRule="auto"/>
        <w:ind w:firstLine="420" w:firstLineChars="200"/>
        <w:rPr>
          <w:rFonts w:ascii="Times New Roman" w:hAnsi="Times New Roman" w:cs="Times New Roman"/>
          <w:highlight w:val="none"/>
        </w:rPr>
      </w:pPr>
      <w:r>
        <w:rPr>
          <w:rFonts w:ascii="Times New Roman" w:hAnsi="Times New Roman" w:cs="Times New Roman"/>
          <w:highlight w:val="none"/>
        </w:rPr>
        <w:t>GB/T 45001</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职业健康安全管理体系 要求及使用指南</w:t>
      </w:r>
    </w:p>
    <w:p>
      <w:pPr>
        <w:spacing w:line="300" w:lineRule="auto"/>
        <w:ind w:firstLine="42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JB/T 13472-2018  球墨铸铁用球化包芯线</w:t>
      </w:r>
    </w:p>
    <w:p>
      <w:pPr>
        <w:spacing w:line="300" w:lineRule="auto"/>
        <w:ind w:firstLine="42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T/CFA 020208012 — 2021  混合型多芯料铸造用包芯线</w:t>
      </w:r>
    </w:p>
    <w:p>
      <w:pPr>
        <w:pStyle w:val="3"/>
        <w:spacing w:before="0" w:after="0"/>
        <w:rPr>
          <w:rFonts w:ascii="Times New Roman" w:hAnsi="Times New Roman" w:eastAsia="黑体" w:cs="Times New Roman"/>
          <w:b w:val="0"/>
          <w:sz w:val="21"/>
          <w:szCs w:val="21"/>
        </w:rPr>
      </w:pPr>
      <w:bookmarkStart w:id="40" w:name="_Toc24156"/>
      <w:bookmarkStart w:id="41" w:name="_Toc7462"/>
      <w:r>
        <w:rPr>
          <w:rFonts w:ascii="Times New Roman" w:hAnsi="Times New Roman" w:eastAsia="黑体" w:cs="Times New Roman"/>
          <w:b w:val="0"/>
          <w:sz w:val="21"/>
          <w:szCs w:val="21"/>
        </w:rPr>
        <w:t>3 术语和定义</w:t>
      </w:r>
      <w:bookmarkEnd w:id="34"/>
      <w:bookmarkEnd w:id="35"/>
      <w:bookmarkEnd w:id="36"/>
      <w:bookmarkEnd w:id="37"/>
      <w:bookmarkEnd w:id="38"/>
      <w:bookmarkEnd w:id="39"/>
      <w:bookmarkEnd w:id="40"/>
      <w:bookmarkEnd w:id="41"/>
    </w:p>
    <w:p>
      <w:pPr>
        <w:pStyle w:val="3"/>
        <w:keepNext/>
        <w:keepLines/>
        <w:pageBreakBefore w:val="0"/>
        <w:widowControl w:val="0"/>
        <w:kinsoku/>
        <w:wordWrap/>
        <w:overflowPunct/>
        <w:topLinePunct w:val="0"/>
        <w:autoSpaceDE/>
        <w:autoSpaceDN/>
        <w:bidi w:val="0"/>
        <w:adjustRightInd/>
        <w:snapToGrid/>
        <w:spacing w:before="0" w:after="0" w:line="480" w:lineRule="auto"/>
        <w:ind w:firstLine="420" w:firstLineChars="200"/>
        <w:textAlignment w:val="auto"/>
        <w:rPr>
          <w:rFonts w:hint="eastAsia" w:ascii="宋体" w:hAnsi="宋体" w:eastAsia="宋体" w:cs="宋体"/>
          <w:b w:val="0"/>
          <w:sz w:val="21"/>
          <w:szCs w:val="21"/>
          <w:lang w:eastAsia="zh-CN"/>
        </w:rPr>
      </w:pPr>
      <w:bookmarkStart w:id="42" w:name="_Toc415043552"/>
      <w:bookmarkEnd w:id="42"/>
      <w:bookmarkStart w:id="43" w:name="_Toc415043492"/>
      <w:bookmarkEnd w:id="43"/>
      <w:bookmarkStart w:id="44" w:name="_Toc415043553"/>
      <w:bookmarkEnd w:id="44"/>
      <w:bookmarkStart w:id="45" w:name="_Toc415043491"/>
      <w:bookmarkEnd w:id="45"/>
      <w:bookmarkStart w:id="46" w:name="_Toc415043899"/>
      <w:bookmarkEnd w:id="46"/>
      <w:bookmarkStart w:id="47" w:name="_Toc375076815"/>
      <w:bookmarkEnd w:id="47"/>
      <w:bookmarkStart w:id="48" w:name="_Toc415043898"/>
      <w:bookmarkEnd w:id="48"/>
      <w:bookmarkStart w:id="49" w:name="_Toc5236"/>
      <w:bookmarkStart w:id="50" w:name="_Toc25327"/>
      <w:bookmarkStart w:id="51" w:name="_Toc65687981"/>
      <w:bookmarkStart w:id="52" w:name="_Toc415043496"/>
      <w:bookmarkStart w:id="53" w:name="_Toc415043557"/>
      <w:bookmarkStart w:id="54" w:name="_Toc25668"/>
      <w:bookmarkStart w:id="55" w:name="_Toc528835813"/>
      <w:bookmarkStart w:id="56" w:name="_Toc415043903"/>
      <w:bookmarkStart w:id="57" w:name="_Toc385602850"/>
      <w:r>
        <w:rPr>
          <w:rFonts w:ascii="Times New Roman" w:hAnsi="Times New Roman" w:eastAsia="黑体" w:cs="Times New Roman"/>
          <w:b w:val="0"/>
          <w:sz w:val="21"/>
          <w:szCs w:val="21"/>
          <w:lang w:eastAsia="zh-CN"/>
        </w:rPr>
        <w:t>GB</w:t>
      </w:r>
      <w:r>
        <w:rPr>
          <w:rFonts w:hint="eastAsia" w:ascii="Times New Roman" w:hAnsi="Times New Roman" w:eastAsia="黑体" w:cs="Times New Roman"/>
          <w:b w:val="0"/>
          <w:sz w:val="21"/>
          <w:szCs w:val="21"/>
          <w:lang w:eastAsia="zh-CN"/>
        </w:rPr>
        <w:t xml:space="preserve">/T5611-2017 </w:t>
      </w:r>
      <w:r>
        <w:rPr>
          <w:rFonts w:hint="eastAsia" w:ascii="宋体" w:hAnsi="宋体" w:eastAsia="宋体" w:cs="宋体"/>
          <w:b w:val="0"/>
          <w:sz w:val="21"/>
          <w:szCs w:val="21"/>
          <w:lang w:eastAsia="zh-CN"/>
        </w:rPr>
        <w:t>界定的术语和定义适用于本文件。</w:t>
      </w:r>
      <w:bookmarkEnd w:id="49"/>
      <w:bookmarkEnd w:id="50"/>
    </w:p>
    <w:p>
      <w:pPr>
        <w:pStyle w:val="82"/>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3.1  </w:t>
      </w:r>
      <w:r>
        <w:rPr>
          <w:rFonts w:hint="eastAsia" w:ascii="Times New Roman" w:hAnsi="黑体" w:eastAsia="黑体" w:cs="Times New Roman"/>
          <w:b w:val="0"/>
          <w:bCs/>
          <w:kern w:val="44"/>
          <w:sz w:val="21"/>
          <w:szCs w:val="21"/>
          <w:lang w:val="en-US" w:eastAsia="zh-CN" w:bidi="ar-SA"/>
        </w:rPr>
        <w:t>球化包芯线 nodularizing agent cored wire</w:t>
      </w:r>
      <w:r>
        <w:rPr>
          <w:rFonts w:hint="eastAsia" w:ascii="Times New Roman" w:hAnsi="Times New Roman" w:cs="Times New Roman"/>
          <w:b/>
          <w:bCs/>
          <w:sz w:val="21"/>
          <w:szCs w:val="21"/>
          <w:lang w:val="en-US" w:eastAsia="zh-CN"/>
        </w:rPr>
        <w:t xml:space="preserve"> </w:t>
      </w:r>
    </w:p>
    <w:p>
      <w:pPr>
        <w:pStyle w:val="8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将欲加入铁液中的球化剂破碎成一定的粒度，然后用冷轧低碳钢带将其包覆，成为一条具有任意长</w:t>
      </w:r>
      <w:bookmarkStart w:id="93" w:name="_GoBack"/>
      <w:bookmarkEnd w:id="93"/>
      <w:r>
        <w:rPr>
          <w:rFonts w:hint="eastAsia" w:ascii="Times New Roman" w:hAnsi="Times New Roman" w:cs="Times New Roman"/>
          <w:sz w:val="21"/>
          <w:szCs w:val="21"/>
          <w:lang w:val="en-US" w:eastAsia="zh-CN"/>
        </w:rPr>
        <w:t>度的线缆状球化剂。</w:t>
      </w:r>
    </w:p>
    <w:p>
      <w:pPr>
        <w:pStyle w:val="82"/>
        <w:keepNext w:val="0"/>
        <w:keepLines w:val="0"/>
        <w:pageBreakBefore w:val="0"/>
        <w:widowControl w:val="0"/>
        <w:kinsoku/>
        <w:wordWrap/>
        <w:overflowPunct/>
        <w:topLinePunct w:val="0"/>
        <w:autoSpaceDE/>
        <w:autoSpaceDN/>
        <w:bidi w:val="0"/>
        <w:adjustRightInd/>
        <w:snapToGrid/>
        <w:ind w:left="420" w:leftChars="200"/>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[来源：JB/T13472-2018，3.1]</w:t>
      </w:r>
    </w:p>
    <w:p>
      <w:pPr>
        <w:pStyle w:val="3"/>
        <w:spacing w:before="0" w:after="0"/>
        <w:rPr>
          <w:rFonts w:ascii="Times New Roman" w:hAnsi="Times New Roman" w:eastAsia="黑体" w:cs="Times New Roman"/>
          <w:b w:val="0"/>
          <w:sz w:val="21"/>
          <w:szCs w:val="21"/>
        </w:rPr>
      </w:pPr>
      <w:bookmarkStart w:id="58" w:name="_Toc637"/>
      <w:bookmarkStart w:id="59" w:name="_Toc3427"/>
      <w:r>
        <w:rPr>
          <w:rFonts w:ascii="Times New Roman" w:hAnsi="Times New Roman" w:eastAsia="黑体" w:cs="Times New Roman"/>
          <w:b w:val="0"/>
          <w:sz w:val="21"/>
          <w:szCs w:val="21"/>
        </w:rPr>
        <w:t xml:space="preserve">4 </w:t>
      </w:r>
      <w:r>
        <w:rPr>
          <w:rFonts w:ascii="Times New Roman" w:hAnsi="黑体" w:eastAsia="黑体" w:cs="Times New Roman"/>
          <w:b w:val="0"/>
          <w:sz w:val="21"/>
          <w:szCs w:val="21"/>
        </w:rPr>
        <w:t>评价指标体系</w:t>
      </w:r>
      <w:bookmarkEnd w:id="51"/>
      <w:bookmarkEnd w:id="58"/>
      <w:bookmarkEnd w:id="59"/>
    </w:p>
    <w:p>
      <w:pPr>
        <w:pStyle w:val="3"/>
        <w:spacing w:before="0" w:after="0"/>
        <w:rPr>
          <w:rFonts w:ascii="Times New Roman" w:hAnsi="Times New Roman" w:eastAsia="黑体" w:cs="Times New Roman"/>
          <w:b w:val="0"/>
          <w:sz w:val="21"/>
          <w:szCs w:val="21"/>
        </w:rPr>
      </w:pPr>
      <w:bookmarkStart w:id="60" w:name="_Toc29665"/>
      <w:bookmarkStart w:id="61" w:name="_Toc11146"/>
      <w:bookmarkStart w:id="62" w:name="_Toc65687984"/>
      <w:bookmarkStart w:id="63" w:name="_Toc33563757"/>
      <w:bookmarkStart w:id="64" w:name="_Toc35259974"/>
      <w:bookmarkStart w:id="65" w:name="_Toc401669933"/>
      <w:r>
        <w:rPr>
          <w:rFonts w:ascii="Times New Roman" w:hAnsi="Times New Roman" w:eastAsia="黑体" w:cs="Times New Roman"/>
          <w:b w:val="0"/>
          <w:sz w:val="21"/>
          <w:szCs w:val="21"/>
        </w:rPr>
        <w:t xml:space="preserve">4.1 </w:t>
      </w:r>
      <w:r>
        <w:rPr>
          <w:rFonts w:ascii="Times New Roman" w:hAnsi="黑体" w:eastAsia="黑体" w:cs="Times New Roman"/>
          <w:b w:val="0"/>
          <w:sz w:val="21"/>
          <w:szCs w:val="21"/>
        </w:rPr>
        <w:t>基本要求</w:t>
      </w:r>
      <w:bookmarkEnd w:id="60"/>
      <w:bookmarkEnd w:id="61"/>
    </w:p>
    <w:p>
      <w:pPr>
        <w:pStyle w:val="82"/>
        <w:rPr>
          <w:rFonts w:ascii="Times New Roman" w:hAnsi="Times New Roman" w:cs="Times New Roman"/>
          <w:lang w:eastAsia="zh-CN"/>
        </w:rPr>
      </w:pPr>
      <w:r>
        <w:rPr>
          <w:rFonts w:ascii="Times New Roman" w:hAnsi="Times New Roman" w:cs="Times New Roman"/>
          <w:sz w:val="21"/>
          <w:szCs w:val="21"/>
          <w:lang w:eastAsia="zh-CN"/>
        </w:rPr>
        <w:t xml:space="preserve">4.1.1 </w:t>
      </w:r>
      <w:bookmarkStart w:id="66" w:name="_Hlk88639630"/>
      <w:r>
        <w:rPr>
          <w:rFonts w:ascii="Times New Roman" w:hAnsi="宋体" w:eastAsia="宋体" w:cs="Times New Roman"/>
          <w:sz w:val="21"/>
          <w:szCs w:val="21"/>
          <w:lang w:eastAsia="zh-CN"/>
        </w:rPr>
        <w:t>产品应符合明示执行标准及强制性国家标准的要求。</w:t>
      </w:r>
    </w:p>
    <w:bookmarkEnd w:id="66"/>
    <w:p>
      <w:pPr>
        <w:pStyle w:val="82"/>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4.1.2 </w:t>
      </w:r>
      <w:r>
        <w:rPr>
          <w:rFonts w:ascii="Times New Roman" w:hAnsi="宋体" w:eastAsia="宋体" w:cs="Times New Roman"/>
          <w:sz w:val="21"/>
          <w:szCs w:val="21"/>
          <w:lang w:eastAsia="zh-CN"/>
        </w:rPr>
        <w:t>近三年，企业无较大或以上环境、安全、质量事故。</w:t>
      </w:r>
    </w:p>
    <w:p>
      <w:pPr>
        <w:pStyle w:val="82"/>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4.1.3 </w:t>
      </w:r>
      <w:r>
        <w:rPr>
          <w:rFonts w:ascii="Times New Roman" w:hAnsi="宋体" w:eastAsia="宋体" w:cs="Times New Roman"/>
          <w:sz w:val="21"/>
          <w:szCs w:val="21"/>
          <w:lang w:eastAsia="zh-CN"/>
        </w:rPr>
        <w:t>企业应未列入国家信用信息严重失信主体相关名录。</w:t>
      </w:r>
    </w:p>
    <w:p>
      <w:pPr>
        <w:pStyle w:val="82"/>
        <w:rPr>
          <w:rFonts w:ascii="Times New Roman" w:hAnsi="Times New Roman" w:eastAsia="宋体" w:cs="Times New Roman"/>
          <w:sz w:val="21"/>
          <w:szCs w:val="21"/>
          <w:lang w:eastAsia="zh-CN"/>
        </w:rPr>
      </w:pPr>
      <w:r>
        <w:rPr>
          <w:rFonts w:ascii="Times New Roman" w:hAnsi="Times New Roman" w:cs="Times New Roman"/>
          <w:bCs/>
          <w:lang w:eastAsia="zh-CN"/>
        </w:rPr>
        <w:t>4.1.4</w:t>
      </w:r>
      <w:r>
        <w:rPr>
          <w:rFonts w:ascii="Times New Roman" w:hAnsi="宋体" w:eastAsia="宋体" w:cs="Times New Roman"/>
          <w:sz w:val="21"/>
          <w:szCs w:val="21"/>
          <w:lang w:eastAsia="zh-CN"/>
        </w:rPr>
        <w:t>企业可根据</w:t>
      </w:r>
      <w:r>
        <w:rPr>
          <w:rFonts w:ascii="Times New Roman" w:hAnsi="Times New Roman" w:eastAsia="宋体" w:cs="Times New Roman"/>
          <w:sz w:val="21"/>
          <w:szCs w:val="21"/>
          <w:lang w:eastAsia="zh-CN"/>
        </w:rPr>
        <w:t xml:space="preserve">GB/T 19001 </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GB/T 24001</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 xml:space="preserve"> GB/T 45001 </w:t>
      </w:r>
      <w:r>
        <w:rPr>
          <w:rFonts w:ascii="Times New Roman" w:hAnsi="宋体" w:eastAsia="宋体" w:cs="Times New Roman"/>
          <w:sz w:val="21"/>
          <w:szCs w:val="21"/>
          <w:lang w:eastAsia="zh-CN"/>
        </w:rPr>
        <w:t>建立并运行相应质量、环境、职业健康安全管理体系，同时鼓励企业根据自身运营情况建立更高水平的相关管理体系。</w:t>
      </w:r>
    </w:p>
    <w:p>
      <w:pPr>
        <w:pStyle w:val="82"/>
        <w:rPr>
          <w:rFonts w:ascii="Times New Roman" w:hAnsi="Times New Roman" w:eastAsia="宋体" w:cs="Times New Roman"/>
          <w:sz w:val="21"/>
          <w:szCs w:val="21"/>
          <w:lang w:eastAsia="zh-CN"/>
        </w:rPr>
      </w:pPr>
      <w:r>
        <w:rPr>
          <w:rFonts w:ascii="Times New Roman" w:hAnsi="Times New Roman" w:cs="Times New Roman"/>
          <w:bCs/>
          <w:lang w:eastAsia="zh-CN"/>
        </w:rPr>
        <w:t>4.1.5</w:t>
      </w:r>
      <w:r>
        <w:rPr>
          <w:rFonts w:ascii="Times New Roman" w:hAnsi="宋体" w:eastAsia="宋体" w:cs="Times New Roman"/>
          <w:sz w:val="21"/>
          <w:szCs w:val="21"/>
          <w:lang w:eastAsia="zh-CN"/>
        </w:rPr>
        <w:t>产品应为量产产品。</w:t>
      </w:r>
    </w:p>
    <w:p>
      <w:pPr>
        <w:pStyle w:val="3"/>
        <w:spacing w:before="0" w:after="0"/>
        <w:rPr>
          <w:rFonts w:ascii="Times New Roman" w:hAnsi="Times New Roman" w:eastAsia="黑体" w:cs="Times New Roman"/>
          <w:b w:val="0"/>
          <w:sz w:val="21"/>
          <w:szCs w:val="21"/>
        </w:rPr>
      </w:pPr>
      <w:bookmarkStart w:id="67" w:name="_Toc26601"/>
      <w:bookmarkStart w:id="68" w:name="_Toc1472"/>
      <w:r>
        <w:rPr>
          <w:rFonts w:ascii="Times New Roman" w:hAnsi="Times New Roman" w:eastAsia="黑体" w:cs="Times New Roman"/>
          <w:b w:val="0"/>
          <w:sz w:val="21"/>
          <w:szCs w:val="21"/>
        </w:rPr>
        <w:t xml:space="preserve">4.2 </w:t>
      </w:r>
      <w:r>
        <w:rPr>
          <w:rFonts w:ascii="Times New Roman" w:hAnsi="黑体" w:eastAsia="黑体" w:cs="Times New Roman"/>
          <w:b w:val="0"/>
          <w:sz w:val="21"/>
          <w:szCs w:val="21"/>
        </w:rPr>
        <w:t>评价指标分类</w:t>
      </w:r>
      <w:bookmarkEnd w:id="67"/>
      <w:bookmarkEnd w:id="68"/>
    </w:p>
    <w:p>
      <w:pPr>
        <w:adjustRightInd w:val="0"/>
        <w:snapToGrid w:val="0"/>
        <w:spacing w:line="300" w:lineRule="auto"/>
        <w:jc w:val="left"/>
        <w:rPr>
          <w:rFonts w:ascii="Times New Roman" w:hAnsi="Times New Roman" w:eastAsia="宋体" w:cs="Times New Roman"/>
          <w:kern w:val="0"/>
          <w:szCs w:val="21"/>
        </w:rPr>
      </w:pPr>
      <w:bookmarkStart w:id="69" w:name="_Hlk35975465"/>
      <w:r>
        <w:rPr>
          <w:rFonts w:ascii="Times New Roman" w:hAnsi="Times New Roman" w:eastAsia="宋体" w:cs="Times New Roman"/>
          <w:szCs w:val="21"/>
        </w:rPr>
        <w:t xml:space="preserve">4.2.1 </w:t>
      </w:r>
      <w:r>
        <w:rPr>
          <w:rFonts w:hint="eastAsia" w:ascii="Times New Roman" w:hAnsi="Times New Roman" w:eastAsia="宋体" w:cs="Times New Roman"/>
          <w:szCs w:val="21"/>
          <w:lang w:val="en-US" w:eastAsia="zh-CN"/>
        </w:rPr>
        <w:t>本文件</w:t>
      </w:r>
      <w:r>
        <w:rPr>
          <w:rFonts w:ascii="Times New Roman" w:hAnsi="宋体" w:eastAsia="宋体" w:cs="Times New Roman"/>
          <w:kern w:val="0"/>
          <w:szCs w:val="21"/>
        </w:rPr>
        <w:t>所包括的指标分为基础指标、核心指标和创新性指标。</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Times New Roman" w:hAnsi="Times New Roman" w:eastAsia="宋体" w:cs="Times New Roman"/>
          <w:szCs w:val="21"/>
          <w:lang w:val="en-US" w:eastAsia="zh-CN"/>
        </w:rPr>
      </w:pPr>
      <w:r>
        <w:rPr>
          <w:rFonts w:ascii="Times New Roman" w:hAnsi="Times New Roman" w:eastAsia="宋体" w:cs="Times New Roman"/>
          <w:szCs w:val="21"/>
        </w:rPr>
        <w:t>4.2.2 基础指标包括</w:t>
      </w:r>
      <w:r>
        <w:rPr>
          <w:rFonts w:hint="eastAsia" w:ascii="Times New Roman" w:hAnsi="Times New Roman" w:eastAsia="宋体" w:cs="Times New Roman"/>
          <w:szCs w:val="21"/>
          <w:lang w:val="en-US" w:eastAsia="zh-CN"/>
        </w:rPr>
        <w:t>球化包芯线外观、芯料水分含量、包芯线线径偏差、包芯线横截面长轴与短轴之比、化学成分中Si/Al/Ti含量的范围；</w:t>
      </w:r>
    </w:p>
    <w:p>
      <w:pPr>
        <w:keepNext w:val="0"/>
        <w:keepLines w:val="0"/>
        <w:widowControl/>
        <w:suppressLineNumbers w:val="0"/>
        <w:spacing w:line="300" w:lineRule="auto"/>
        <w:jc w:val="both"/>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4.2.3 核心指标包括粉料中化学成分Re、Mg、Ca含量的波动范围；超过上限粒度占比（粒度范围2.5mm≤粒度＜3mm）；超过下限粒度占比（粒度范围＜0.1mm）；粉料中氧化镁含量与总镁量的比值；每米包芯线芯粉质量误差；</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Times New Roman" w:hAnsi="宋体" w:eastAsia="宋体" w:cs="Times New Roman"/>
          <w:kern w:val="0"/>
          <w:szCs w:val="21"/>
        </w:rPr>
      </w:pPr>
      <w:r>
        <w:rPr>
          <w:rFonts w:ascii="Times New Roman" w:hAnsi="Times New Roman" w:eastAsia="宋体" w:cs="Times New Roman"/>
          <w:szCs w:val="21"/>
        </w:rPr>
        <w:t>4.2.</w:t>
      </w:r>
      <w:r>
        <w:rPr>
          <w:rFonts w:hint="eastAsia" w:ascii="Times New Roman" w:hAnsi="Times New Roman" w:eastAsia="宋体" w:cs="Times New Roman"/>
          <w:szCs w:val="21"/>
          <w:lang w:val="en-US" w:eastAsia="zh-CN"/>
        </w:rPr>
        <w:t>4</w:t>
      </w:r>
      <w:r>
        <w:rPr>
          <w:rFonts w:ascii="Times New Roman" w:hAnsi="宋体" w:eastAsia="宋体" w:cs="Times New Roman"/>
          <w:kern w:val="0"/>
          <w:szCs w:val="21"/>
        </w:rPr>
        <w:t>核心指标分为三个等级，包括先进水平，相当于企业标准排行榜中</w:t>
      </w:r>
      <w:r>
        <w:rPr>
          <w:rFonts w:ascii="Times New Roman" w:hAnsi="Times New Roman" w:eastAsia="宋体" w:cs="Times New Roman"/>
          <w:kern w:val="0"/>
          <w:szCs w:val="21"/>
        </w:rPr>
        <w:t>5</w:t>
      </w:r>
      <w:r>
        <w:rPr>
          <w:rFonts w:ascii="Times New Roman" w:hAnsi="宋体" w:eastAsia="宋体" w:cs="Times New Roman"/>
          <w:kern w:val="0"/>
          <w:szCs w:val="21"/>
        </w:rPr>
        <w:t>星级水平；平均水平，相当于企业标准排行榜中</w:t>
      </w:r>
      <w:r>
        <w:rPr>
          <w:rFonts w:ascii="Times New Roman" w:hAnsi="Times New Roman" w:eastAsia="宋体" w:cs="Times New Roman"/>
          <w:kern w:val="0"/>
          <w:szCs w:val="21"/>
        </w:rPr>
        <w:t>4</w:t>
      </w:r>
      <w:r>
        <w:rPr>
          <w:rFonts w:ascii="Times New Roman" w:hAnsi="宋体" w:eastAsia="宋体" w:cs="Times New Roman"/>
          <w:kern w:val="0"/>
          <w:szCs w:val="21"/>
        </w:rPr>
        <w:t>星级水平；基准水平，相当于企业标准排行榜中</w:t>
      </w:r>
      <w:r>
        <w:rPr>
          <w:rFonts w:ascii="Times New Roman" w:hAnsi="Times New Roman" w:eastAsia="宋体" w:cs="Times New Roman"/>
          <w:kern w:val="0"/>
          <w:szCs w:val="21"/>
        </w:rPr>
        <w:t>3</w:t>
      </w:r>
      <w:r>
        <w:rPr>
          <w:rFonts w:ascii="Times New Roman" w:hAnsi="宋体" w:eastAsia="宋体" w:cs="Times New Roman"/>
          <w:kern w:val="0"/>
          <w:szCs w:val="21"/>
        </w:rPr>
        <w:t>星级水平。</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4.2.5创新性指标包括包芯线的扭曲强度和弯曲强度；</w:t>
      </w:r>
      <w:r>
        <w:rPr>
          <w:rFonts w:hint="eastAsia" w:ascii="Times New Roman" w:hAnsi="宋体" w:eastAsia="宋体" w:cs="Times New Roman"/>
          <w:kern w:val="0"/>
          <w:szCs w:val="21"/>
        </w:rPr>
        <w:t>鼓励根据使用条件增加与产品性能和消费者关注的相关创新性指标。</w:t>
      </w:r>
    </w:p>
    <w:bookmarkEnd w:id="69"/>
    <w:p>
      <w:pPr>
        <w:pStyle w:val="3"/>
        <w:spacing w:before="0" w:after="0"/>
        <w:rPr>
          <w:rFonts w:ascii="Times New Roman" w:hAnsi="Times New Roman" w:eastAsia="黑体" w:cs="Times New Roman"/>
          <w:b w:val="0"/>
          <w:sz w:val="21"/>
          <w:szCs w:val="21"/>
        </w:rPr>
      </w:pPr>
      <w:bookmarkStart w:id="70" w:name="_Toc29068"/>
      <w:bookmarkStart w:id="71" w:name="_Toc806"/>
      <w:r>
        <w:rPr>
          <w:rFonts w:ascii="Times New Roman" w:hAnsi="Times New Roman" w:eastAsia="黑体" w:cs="Times New Roman"/>
          <w:b w:val="0"/>
          <w:sz w:val="21"/>
          <w:szCs w:val="21"/>
        </w:rPr>
        <w:t xml:space="preserve">4.3 </w:t>
      </w:r>
      <w:r>
        <w:rPr>
          <w:rFonts w:ascii="Times New Roman" w:hAnsi="黑体" w:eastAsia="黑体" w:cs="Times New Roman"/>
          <w:b w:val="0"/>
          <w:sz w:val="21"/>
          <w:szCs w:val="21"/>
        </w:rPr>
        <w:t>评价指标</w:t>
      </w:r>
      <w:bookmarkEnd w:id="62"/>
      <w:r>
        <w:rPr>
          <w:rFonts w:ascii="Times New Roman" w:hAnsi="黑体" w:eastAsia="黑体" w:cs="Times New Roman"/>
          <w:b w:val="0"/>
          <w:sz w:val="21"/>
          <w:szCs w:val="21"/>
        </w:rPr>
        <w:t>体系框架</w:t>
      </w:r>
      <w:bookmarkEnd w:id="70"/>
      <w:bookmarkEnd w:id="71"/>
    </w:p>
    <w:p>
      <w:pPr>
        <w:rPr>
          <w:rFonts w:ascii="宋体" w:hAnsi="宋体" w:eastAsia="宋体" w:cs="Times New Roman"/>
          <w:kern w:val="0"/>
          <w:szCs w:val="21"/>
        </w:rPr>
      </w:pPr>
      <w:r>
        <w:rPr>
          <w:rFonts w:hint="eastAsia" w:ascii="Times New Roman" w:hAnsi="Times New Roman" w:eastAsia="宋体" w:cs="Times New Roman"/>
          <w:szCs w:val="21"/>
          <w:lang w:val="en-US" w:eastAsia="zh-CN"/>
        </w:rPr>
        <w:t>4.3.1</w:t>
      </w:r>
      <w:r>
        <w:rPr>
          <w:rFonts w:hint="eastAsia" w:ascii="宋体" w:hAnsi="宋体" w:eastAsia="宋体" w:cs="Times New Roman"/>
          <w:kern w:val="0"/>
          <w:szCs w:val="21"/>
          <w:lang w:val="en-US" w:eastAsia="zh-CN"/>
        </w:rPr>
        <w:t>球墨铸铁用球化包芯线</w:t>
      </w:r>
      <w:r>
        <w:rPr>
          <w:rFonts w:ascii="宋体" w:hAnsi="宋体" w:eastAsia="宋体" w:cs="Times New Roman"/>
          <w:kern w:val="0"/>
          <w:szCs w:val="21"/>
        </w:rPr>
        <w:t>“领跑者”标准的评价指标体系框架见表1。</w:t>
      </w:r>
    </w:p>
    <w:p>
      <w:pPr>
        <w:pStyle w:val="7"/>
        <w:spacing w:before="157" w:beforeLines="50" w:after="157" w:afterLines="50" w:line="300" w:lineRule="auto"/>
        <w:jc w:val="center"/>
        <w:rPr>
          <w:rFonts w:hint="eastAsia" w:ascii="黑体" w:hAnsi="黑体" w:eastAsia="黑体" w:cs="黑体"/>
          <w:sz w:val="21"/>
          <w:szCs w:val="21"/>
        </w:rPr>
      </w:pPr>
      <w:bookmarkStart w:id="72" w:name="_Hlk42778042"/>
      <w:r>
        <w:rPr>
          <w:rFonts w:hint="eastAsia" w:ascii="黑体" w:hAnsi="黑体" w:cs="黑体"/>
          <w:sz w:val="21"/>
          <w:szCs w:val="21"/>
        </w:rPr>
        <w:t xml:space="preserve">表 </w:t>
      </w:r>
      <w:r>
        <w:rPr>
          <w:rFonts w:hint="eastAsia" w:ascii="黑体" w:hAnsi="黑体" w:cs="黑体"/>
          <w:sz w:val="21"/>
          <w:szCs w:val="21"/>
        </w:rPr>
        <w:fldChar w:fldCharType="begin"/>
      </w:r>
      <w:r>
        <w:rPr>
          <w:rFonts w:hint="eastAsia" w:ascii="黑体" w:hAnsi="黑体" w:cs="黑体"/>
          <w:sz w:val="21"/>
          <w:szCs w:val="21"/>
        </w:rPr>
        <w:instrText xml:space="preserve"> SEQ 表 \* ARABIC </w:instrText>
      </w:r>
      <w:r>
        <w:rPr>
          <w:rFonts w:hint="eastAsia" w:ascii="黑体" w:hAnsi="黑体" w:cs="黑体"/>
          <w:sz w:val="21"/>
          <w:szCs w:val="21"/>
        </w:rPr>
        <w:fldChar w:fldCharType="separate"/>
      </w:r>
      <w:r>
        <w:rPr>
          <w:rFonts w:hint="eastAsia" w:ascii="黑体" w:hAnsi="黑体" w:cs="黑体"/>
          <w:sz w:val="21"/>
          <w:szCs w:val="21"/>
        </w:rPr>
        <w:t>1</w:t>
      </w:r>
      <w:r>
        <w:rPr>
          <w:rFonts w:hint="eastAsia" w:ascii="黑体" w:hAnsi="黑体" w:cs="黑体"/>
          <w:sz w:val="21"/>
          <w:szCs w:val="21"/>
        </w:rPr>
        <w:fldChar w:fldCharType="end"/>
      </w:r>
      <w:bookmarkStart w:id="73" w:name="_Toc10626"/>
      <w:bookmarkStart w:id="74" w:name="_Toc8882"/>
      <w:r>
        <w:rPr>
          <w:rFonts w:hint="eastAsia" w:ascii="黑体" w:hAnsi="黑体" w:cs="黑体"/>
          <w:sz w:val="21"/>
          <w:szCs w:val="21"/>
          <w:lang w:val="en-US" w:eastAsia="zh-CN"/>
        </w:rPr>
        <w:t xml:space="preserve">  </w:t>
      </w:r>
      <w:r>
        <w:rPr>
          <w:rFonts w:hint="eastAsia" w:ascii="黑体" w:hAnsi="黑体" w:eastAsia="黑体" w:cs="黑体"/>
          <w:sz w:val="21"/>
          <w:szCs w:val="21"/>
          <w:lang w:val="en-US" w:eastAsia="zh-CN"/>
        </w:rPr>
        <w:t>球墨铸铁用球化包芯线</w:t>
      </w:r>
      <w:r>
        <w:rPr>
          <w:rFonts w:hint="eastAsia" w:ascii="黑体" w:hAnsi="黑体" w:eastAsia="黑体" w:cs="黑体"/>
          <w:sz w:val="21"/>
          <w:szCs w:val="21"/>
        </w:rPr>
        <w:t>评价指标体系框架</w:t>
      </w:r>
      <w:bookmarkEnd w:id="72"/>
      <w:bookmarkEnd w:id="73"/>
      <w:bookmarkEnd w:id="74"/>
    </w:p>
    <w:tbl>
      <w:tblPr>
        <w:tblStyle w:val="24"/>
        <w:tblpPr w:leftFromText="180" w:rightFromText="180" w:vertAnchor="text" w:horzAnchor="page" w:tblpX="995" w:tblpY="3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220"/>
        <w:gridCol w:w="2110"/>
        <w:gridCol w:w="1385"/>
        <w:gridCol w:w="984"/>
        <w:gridCol w:w="984"/>
        <w:gridCol w:w="98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28" w:type="dxa"/>
            <w:vMerge w:val="restart"/>
            <w:shd w:val="clear" w:color="auto" w:fill="auto"/>
            <w:noWrap/>
            <w:vAlign w:val="center"/>
          </w:tcPr>
          <w:p>
            <w:pPr>
              <w:keepNext w:val="0"/>
              <w:keepLines w:val="0"/>
              <w:widowControl/>
              <w:suppressLineNumbers w:val="0"/>
              <w:jc w:val="center"/>
              <w:textAlignment w:val="center"/>
              <w:rPr>
                <w:rFonts w:cs="宋体" w:asciiTheme="minorEastAsia" w:hAnsiTheme="minorEastAsia"/>
                <w:bCs/>
                <w:color w:val="000000"/>
                <w:kern w:val="0"/>
                <w:sz w:val="18"/>
                <w:szCs w:val="18"/>
              </w:rPr>
            </w:pPr>
            <w:bookmarkStart w:id="75" w:name="_Hlk100826962"/>
            <w:r>
              <w:rPr>
                <w:rFonts w:hint="eastAsia" w:ascii="宋体" w:hAnsi="宋体" w:eastAsia="宋体" w:cs="宋体"/>
                <w:i w:val="0"/>
                <w:iCs w:val="0"/>
                <w:color w:val="000000"/>
                <w:kern w:val="0"/>
                <w:sz w:val="18"/>
                <w:szCs w:val="18"/>
                <w:u w:val="none"/>
                <w:lang w:val="en-US" w:eastAsia="zh-CN" w:bidi="ar"/>
              </w:rPr>
              <w:t>序号</w:t>
            </w:r>
          </w:p>
        </w:tc>
        <w:tc>
          <w:tcPr>
            <w:tcW w:w="1220" w:type="dxa"/>
            <w:vMerge w:val="restart"/>
            <w:shd w:val="clear" w:color="auto" w:fill="auto"/>
            <w:vAlign w:val="center"/>
          </w:tcPr>
          <w:p>
            <w:pPr>
              <w:keepNext w:val="0"/>
              <w:keepLines w:val="0"/>
              <w:widowControl/>
              <w:suppressLineNumbers w:val="0"/>
              <w:jc w:val="center"/>
              <w:textAlignment w:val="center"/>
              <w:rPr>
                <w:rFonts w:cs="宋体" w:asciiTheme="minorEastAsia" w:hAnsiTheme="minorEastAsia"/>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指标类型</w:t>
            </w:r>
          </w:p>
        </w:tc>
        <w:tc>
          <w:tcPr>
            <w:tcW w:w="2110" w:type="dxa"/>
            <w:vMerge w:val="restart"/>
            <w:shd w:val="clear" w:color="auto" w:fill="auto"/>
            <w:vAlign w:val="center"/>
          </w:tcPr>
          <w:p>
            <w:pPr>
              <w:keepNext w:val="0"/>
              <w:keepLines w:val="0"/>
              <w:widowControl/>
              <w:suppressLineNumbers w:val="0"/>
              <w:jc w:val="center"/>
              <w:textAlignment w:val="center"/>
              <w:rPr>
                <w:rFonts w:hint="eastAsia" w:cs="宋体" w:asciiTheme="minorEastAsia" w:hAnsiTheme="minorEastAsia"/>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评价指标</w:t>
            </w:r>
          </w:p>
        </w:tc>
        <w:tc>
          <w:tcPr>
            <w:tcW w:w="1385" w:type="dxa"/>
            <w:vMerge w:val="restart"/>
            <w:shd w:val="clear" w:color="auto" w:fill="auto"/>
            <w:vAlign w:val="center"/>
          </w:tcPr>
          <w:p>
            <w:pPr>
              <w:keepNext w:val="0"/>
              <w:keepLines w:val="0"/>
              <w:widowControl/>
              <w:suppressLineNumbers w:val="0"/>
              <w:jc w:val="center"/>
              <w:textAlignment w:val="center"/>
              <w:rPr>
                <w:rFonts w:cs="宋体" w:asciiTheme="minorEastAsia" w:hAnsiTheme="minorEastAsia"/>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指标来源</w:t>
            </w:r>
          </w:p>
        </w:tc>
        <w:tc>
          <w:tcPr>
            <w:tcW w:w="0" w:type="auto"/>
            <w:gridSpan w:val="3"/>
            <w:shd w:val="clear" w:color="auto" w:fill="auto"/>
            <w:vAlign w:val="center"/>
          </w:tcPr>
          <w:p>
            <w:pPr>
              <w:keepNext w:val="0"/>
              <w:keepLines w:val="0"/>
              <w:widowControl/>
              <w:suppressLineNumbers w:val="0"/>
              <w:jc w:val="center"/>
              <w:textAlignment w:val="center"/>
              <w:rPr>
                <w:rFonts w:cs="宋体" w:asciiTheme="minorEastAsia" w:hAnsiTheme="minorEastAsia"/>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指标水平分级</w:t>
            </w:r>
          </w:p>
        </w:tc>
        <w:tc>
          <w:tcPr>
            <w:tcW w:w="0" w:type="auto"/>
            <w:vMerge w:val="restart"/>
            <w:shd w:val="clear" w:color="auto" w:fill="auto"/>
            <w:vAlign w:val="center"/>
          </w:tcPr>
          <w:p>
            <w:pPr>
              <w:keepNext w:val="0"/>
              <w:keepLines w:val="0"/>
              <w:widowControl/>
              <w:suppressLineNumbers w:val="0"/>
              <w:jc w:val="center"/>
              <w:textAlignment w:val="center"/>
              <w:rPr>
                <w:rFonts w:cs="宋体" w:asciiTheme="minorEastAsia" w:hAnsiTheme="minorEastAsia"/>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判断依据和方法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28" w:type="dxa"/>
            <w:vMerge w:val="continue"/>
            <w:shd w:val="clear" w:color="auto" w:fill="auto"/>
            <w:noWrap/>
            <w:vAlign w:val="center"/>
          </w:tcPr>
          <w:p>
            <w:pPr>
              <w:jc w:val="center"/>
              <w:rPr>
                <w:rFonts w:cs="宋体" w:asciiTheme="minorEastAsia" w:hAnsiTheme="minorEastAsia"/>
                <w:bCs/>
                <w:color w:val="000000"/>
                <w:kern w:val="0"/>
                <w:sz w:val="18"/>
                <w:szCs w:val="18"/>
              </w:rPr>
            </w:pPr>
          </w:p>
        </w:tc>
        <w:tc>
          <w:tcPr>
            <w:tcW w:w="1220" w:type="dxa"/>
            <w:vMerge w:val="continue"/>
            <w:shd w:val="clear" w:color="auto" w:fill="auto"/>
            <w:vAlign w:val="center"/>
          </w:tcPr>
          <w:p>
            <w:pPr>
              <w:jc w:val="center"/>
              <w:rPr>
                <w:rFonts w:cs="宋体" w:asciiTheme="minorEastAsia" w:hAnsiTheme="minorEastAsia"/>
                <w:bCs/>
                <w:color w:val="000000"/>
                <w:kern w:val="0"/>
                <w:sz w:val="18"/>
                <w:szCs w:val="18"/>
              </w:rPr>
            </w:pPr>
          </w:p>
        </w:tc>
        <w:tc>
          <w:tcPr>
            <w:tcW w:w="2110" w:type="dxa"/>
            <w:vMerge w:val="continue"/>
            <w:shd w:val="clear" w:color="auto" w:fill="auto"/>
            <w:vAlign w:val="center"/>
          </w:tcPr>
          <w:p>
            <w:pPr>
              <w:jc w:val="center"/>
              <w:rPr>
                <w:rFonts w:cs="宋体" w:asciiTheme="minorEastAsia" w:hAnsiTheme="minorEastAsia"/>
                <w:bCs/>
                <w:color w:val="000000"/>
                <w:kern w:val="0"/>
                <w:sz w:val="18"/>
                <w:szCs w:val="18"/>
              </w:rPr>
            </w:pPr>
          </w:p>
        </w:tc>
        <w:tc>
          <w:tcPr>
            <w:tcW w:w="1385" w:type="dxa"/>
            <w:vMerge w:val="continue"/>
            <w:shd w:val="clear" w:color="auto" w:fill="auto"/>
            <w:vAlign w:val="center"/>
          </w:tcPr>
          <w:p>
            <w:pPr>
              <w:jc w:val="center"/>
              <w:rPr>
                <w:rFonts w:cs="宋体" w:asciiTheme="minorEastAsia" w:hAnsiTheme="minorEastAsia"/>
                <w:bCs/>
                <w:color w:val="000000"/>
                <w:kern w:val="0"/>
                <w:sz w:val="18"/>
                <w:szCs w:val="18"/>
              </w:rPr>
            </w:pPr>
          </w:p>
        </w:tc>
        <w:tc>
          <w:tcPr>
            <w:tcW w:w="0" w:type="auto"/>
            <w:shd w:val="clear" w:color="auto" w:fill="auto"/>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iCs w:val="0"/>
                <w:color w:val="000000"/>
                <w:kern w:val="0"/>
                <w:sz w:val="18"/>
                <w:szCs w:val="18"/>
                <w:u w:val="none"/>
                <w:lang w:val="en-US" w:eastAsia="zh-CN" w:bidi="ar"/>
              </w:rPr>
              <w:t>先进水平</w:t>
            </w:r>
          </w:p>
        </w:tc>
        <w:tc>
          <w:tcPr>
            <w:tcW w:w="0" w:type="auto"/>
            <w:shd w:val="clear" w:color="auto" w:fill="auto"/>
            <w:vAlign w:val="center"/>
          </w:tcPr>
          <w:p>
            <w:pPr>
              <w:keepNext w:val="0"/>
              <w:keepLines w:val="0"/>
              <w:widowControl/>
              <w:suppressLineNumbers w:val="0"/>
              <w:jc w:val="center"/>
              <w:textAlignment w:val="center"/>
              <w:rPr>
                <w:rFonts w:cs="Arial"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平均水平</w:t>
            </w:r>
          </w:p>
        </w:tc>
        <w:tc>
          <w:tcPr>
            <w:tcW w:w="0" w:type="auto"/>
            <w:shd w:val="clear" w:color="auto" w:fill="auto"/>
            <w:vAlign w:val="center"/>
          </w:tcPr>
          <w:p>
            <w:pPr>
              <w:keepNext w:val="0"/>
              <w:keepLines w:val="0"/>
              <w:widowControl/>
              <w:suppressLineNumbers w:val="0"/>
              <w:jc w:val="center"/>
              <w:textAlignment w:val="center"/>
              <w:rPr>
                <w:rFonts w:cs="Arial"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基准水平</w:t>
            </w:r>
          </w:p>
        </w:tc>
        <w:tc>
          <w:tcPr>
            <w:tcW w:w="0" w:type="auto"/>
            <w:vMerge w:val="continue"/>
            <w:shd w:val="clear" w:color="auto" w:fill="auto"/>
            <w:vAlign w:val="center"/>
          </w:tcPr>
          <w:p>
            <w:pPr>
              <w:jc w:val="center"/>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1220" w:type="dxa"/>
            <w:vMerge w:val="restart"/>
            <w:shd w:val="clear" w:color="auto" w:fill="auto"/>
            <w:noWrap/>
            <w:vAlign w:val="center"/>
          </w:tcPr>
          <w:p>
            <w:pPr>
              <w:keepNext w:val="0"/>
              <w:keepLines w:val="0"/>
              <w:widowControl/>
              <w:suppressLineNumbers w:val="0"/>
              <w:jc w:val="center"/>
              <w:textAlignment w:val="center"/>
              <w:rPr>
                <w:rFonts w:cs="宋体" w:asciiTheme="minorEastAsia" w:hAnsiTheme="minorEastAsia" w:eastAsiaTheme="minorEastAsia"/>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基础指标</w:t>
            </w:r>
          </w:p>
        </w:tc>
        <w:tc>
          <w:tcPr>
            <w:tcW w:w="2110" w:type="dxa"/>
            <w:vMerge w:val="restart"/>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外观</w:t>
            </w:r>
          </w:p>
        </w:tc>
        <w:tc>
          <w:tcPr>
            <w:tcW w:w="1385" w:type="dxa"/>
            <w:shd w:val="clear" w:color="auto" w:fill="auto"/>
            <w:vAlign w:val="top"/>
          </w:tcPr>
          <w:p>
            <w:pPr>
              <w:keepNext w:val="0"/>
              <w:keepLines w:val="0"/>
              <w:widowControl/>
              <w:suppressLineNumbers w:val="0"/>
              <w:jc w:val="center"/>
              <w:textAlignment w:val="top"/>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13472-2018中5.2.4</w:t>
            </w:r>
          </w:p>
        </w:tc>
        <w:tc>
          <w:tcPr>
            <w:tcW w:w="0" w:type="auto"/>
            <w:gridSpan w:val="3"/>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球化包芯线应无虚包、无开缝、无破裂、不漏料、无锈蚀、无油污，芯料应充填均匀</w:t>
            </w:r>
          </w:p>
        </w:tc>
        <w:tc>
          <w:tcPr>
            <w:tcW w:w="0" w:type="auto"/>
            <w:shd w:val="clear" w:color="auto" w:fill="auto"/>
            <w:vAlign w:val="top"/>
          </w:tcPr>
          <w:p>
            <w:pPr>
              <w:keepNext w:val="0"/>
              <w:keepLines w:val="0"/>
              <w:widowControl/>
              <w:suppressLineNumbers w:val="0"/>
              <w:jc w:val="center"/>
              <w:textAlignment w:val="top"/>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noWrap/>
            <w:vAlign w:val="center"/>
          </w:tcPr>
          <w:p>
            <w:pPr>
              <w:jc w:val="center"/>
              <w:rPr>
                <w:rFonts w:hint="eastAsia"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w:t>
            </w:r>
          </w:p>
          <w:p>
            <w:pPr>
              <w:jc w:val="center"/>
              <w:rPr>
                <w:rFonts w:hint="eastAsia" w:cs="宋体" w:asciiTheme="minorEastAsia" w:hAnsiTheme="minorEastAsia"/>
                <w:color w:val="000000"/>
                <w:kern w:val="0"/>
                <w:sz w:val="18"/>
                <w:szCs w:val="18"/>
                <w:lang w:val="en-US" w:eastAsia="zh-CN"/>
              </w:rPr>
            </w:pPr>
          </w:p>
        </w:tc>
        <w:tc>
          <w:tcPr>
            <w:tcW w:w="1220" w:type="dxa"/>
            <w:vMerge w:val="continue"/>
            <w:shd w:val="clear" w:color="auto" w:fill="auto"/>
            <w:noWrap/>
            <w:vAlign w:val="center"/>
          </w:tcPr>
          <w:p>
            <w:pPr>
              <w:jc w:val="center"/>
              <w:rPr>
                <w:rFonts w:hint="eastAsia" w:cs="宋体" w:asciiTheme="minorEastAsia" w:hAnsiTheme="minorEastAsia"/>
                <w:color w:val="000000"/>
                <w:kern w:val="0"/>
                <w:sz w:val="18"/>
                <w:szCs w:val="18"/>
              </w:rPr>
            </w:pPr>
          </w:p>
        </w:tc>
        <w:tc>
          <w:tcPr>
            <w:tcW w:w="2110" w:type="dxa"/>
            <w:vMerge w:val="continue"/>
            <w:shd w:val="clear" w:color="auto" w:fill="auto"/>
            <w:noWrap/>
            <w:vAlign w:val="center"/>
          </w:tcPr>
          <w:p>
            <w:pPr>
              <w:jc w:val="center"/>
              <w:rPr>
                <w:rFonts w:hint="eastAsia" w:cs="宋体" w:asciiTheme="minorEastAsia" w:hAnsiTheme="minorEastAsia"/>
                <w:kern w:val="0"/>
                <w:sz w:val="18"/>
                <w:szCs w:val="18"/>
                <w:lang w:val="en-US" w:eastAsia="zh-CN"/>
              </w:rPr>
            </w:pPr>
          </w:p>
        </w:tc>
        <w:tc>
          <w:tcPr>
            <w:tcW w:w="1385" w:type="dxa"/>
            <w:shd w:val="clear" w:color="auto" w:fill="auto"/>
            <w:vAlign w:val="top"/>
          </w:tcPr>
          <w:p>
            <w:pPr>
              <w:keepNext w:val="0"/>
              <w:keepLines w:val="0"/>
              <w:widowControl/>
              <w:suppressLineNumbers w:val="0"/>
              <w:jc w:val="center"/>
              <w:textAlignment w:val="top"/>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JB/T 13472-2018中5.2.1</w:t>
            </w:r>
          </w:p>
        </w:tc>
        <w:tc>
          <w:tcPr>
            <w:tcW w:w="0" w:type="auto"/>
            <w:gridSpan w:val="3"/>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每千米接头个数≤2</w:t>
            </w:r>
          </w:p>
        </w:tc>
        <w:tc>
          <w:tcPr>
            <w:tcW w:w="0" w:type="auto"/>
            <w:shd w:val="clear" w:color="auto" w:fill="auto"/>
            <w:vAlign w:val="top"/>
          </w:tcPr>
          <w:p>
            <w:pPr>
              <w:keepNext w:val="0"/>
              <w:keepLines w:val="0"/>
              <w:widowControl/>
              <w:suppressLineNumbers w:val="0"/>
              <w:jc w:val="center"/>
              <w:textAlignment w:val="top"/>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vAlign w:val="center"/>
          </w:tcPr>
          <w:p>
            <w:pPr>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w:t>
            </w:r>
          </w:p>
        </w:tc>
        <w:tc>
          <w:tcPr>
            <w:tcW w:w="1220" w:type="dxa"/>
            <w:vMerge w:val="continue"/>
            <w:shd w:val="clear" w:color="auto" w:fill="auto"/>
            <w:vAlign w:val="center"/>
          </w:tcPr>
          <w:p>
            <w:pPr>
              <w:jc w:val="center"/>
              <w:rPr>
                <w:rFonts w:hint="eastAsia"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芯料水分含量</w:t>
            </w:r>
          </w:p>
          <w:p>
            <w:pPr>
              <w:keepNext w:val="0"/>
              <w:keepLines w:val="0"/>
              <w:widowControl/>
              <w:suppressLineNumbers w:val="0"/>
              <w:jc w:val="center"/>
              <w:textAlignment w:val="center"/>
              <w:rPr>
                <w:rFonts w:hint="default" w:cs="宋体" w:asciiTheme="minorEastAsia" w:hAnsiTheme="minorEastAsia" w:eastAsia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w:t>
            </w:r>
          </w:p>
        </w:tc>
        <w:tc>
          <w:tcPr>
            <w:tcW w:w="1385"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JB/T 13472-2018中 5.2.3</w:t>
            </w:r>
          </w:p>
        </w:tc>
        <w:tc>
          <w:tcPr>
            <w:tcW w:w="0" w:type="auto"/>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≤0.3</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vAlign w:val="center"/>
          </w:tcPr>
          <w:p>
            <w:pPr>
              <w:jc w:val="center"/>
              <w:rPr>
                <w:rFonts w:hint="eastAsia" w:cs="宋体" w:asciiTheme="minorEastAsia" w:hAnsiTheme="minorEastAsia" w:eastAsiaTheme="minorEastAsia"/>
                <w:color w:val="000000"/>
                <w:kern w:val="0"/>
                <w:sz w:val="18"/>
                <w:szCs w:val="18"/>
                <w:lang w:val="en-US" w:eastAsia="zh-CN" w:bidi="ar-SA"/>
              </w:rPr>
            </w:pPr>
            <w:r>
              <w:rPr>
                <w:rFonts w:hint="eastAsia" w:cs="宋体" w:asciiTheme="minorEastAsia" w:hAnsiTheme="minorEastAsia"/>
                <w:color w:val="000000"/>
                <w:kern w:val="0"/>
                <w:sz w:val="18"/>
                <w:szCs w:val="18"/>
                <w:lang w:val="en-US" w:eastAsia="zh-CN"/>
              </w:rPr>
              <w:t>4</w:t>
            </w:r>
          </w:p>
        </w:tc>
        <w:tc>
          <w:tcPr>
            <w:tcW w:w="1220" w:type="dxa"/>
            <w:vMerge w:val="continue"/>
            <w:shd w:val="clear" w:color="auto" w:fill="auto"/>
            <w:vAlign w:val="center"/>
          </w:tcPr>
          <w:p>
            <w:pPr>
              <w:jc w:val="center"/>
              <w:rPr>
                <w:rFonts w:cs="宋体" w:asciiTheme="minorEastAsia" w:hAnsiTheme="minorEastAsia" w:eastAsiaTheme="minorEastAsia"/>
                <w:color w:val="000000"/>
                <w:kern w:val="0"/>
                <w:sz w:val="18"/>
                <w:szCs w:val="18"/>
                <w:lang w:val="en-US" w:eastAsia="zh-CN" w:bidi="ar-SA"/>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vertAlign w:val="superscript"/>
                <w:lang w:val="en-US" w:eastAsia="zh-CN" w:bidi="ar"/>
              </w:rPr>
            </w:pPr>
            <w:r>
              <w:rPr>
                <w:rFonts w:hint="eastAsia" w:ascii="宋体" w:hAnsi="宋体" w:eastAsia="宋体" w:cs="宋体"/>
                <w:i w:val="0"/>
                <w:iCs w:val="0"/>
                <w:color w:val="000000"/>
                <w:kern w:val="0"/>
                <w:sz w:val="18"/>
                <w:szCs w:val="18"/>
                <w:u w:val="none"/>
                <w:lang w:val="en-US" w:eastAsia="zh-CN" w:bidi="ar"/>
              </w:rPr>
              <w:t>包芯线线径偏差</w:t>
            </w:r>
            <w:r>
              <w:rPr>
                <w:rFonts w:hint="eastAsia" w:ascii="宋体" w:hAnsi="宋体" w:eastAsia="宋体" w:cs="宋体"/>
                <w:i w:val="0"/>
                <w:iCs w:val="0"/>
                <w:color w:val="000000"/>
                <w:kern w:val="0"/>
                <w:sz w:val="28"/>
                <w:szCs w:val="28"/>
                <w:u w:val="none"/>
                <w:vertAlign w:val="superscript"/>
                <w:lang w:val="en-US" w:eastAsia="zh-CN" w:bidi="ar"/>
              </w:rPr>
              <w:t>a</w:t>
            </w:r>
          </w:p>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mm</w:t>
            </w:r>
          </w:p>
        </w:tc>
        <w:tc>
          <w:tcPr>
            <w:tcW w:w="1385"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T/CFA 020208012 — 2021中5.1</w:t>
            </w:r>
          </w:p>
        </w:tc>
        <w:tc>
          <w:tcPr>
            <w:tcW w:w="0" w:type="auto"/>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（0，﹢0.3）</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T/CFA 020208012 — 2021中6.1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vAlign w:val="center"/>
          </w:tcPr>
          <w:p>
            <w:pPr>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w:t>
            </w:r>
          </w:p>
        </w:tc>
        <w:tc>
          <w:tcPr>
            <w:tcW w:w="1220" w:type="dxa"/>
            <w:vMerge w:val="continue"/>
            <w:shd w:val="clear" w:color="auto" w:fill="auto"/>
            <w:vAlign w:val="center"/>
          </w:tcPr>
          <w:p>
            <w:pPr>
              <w:jc w:val="center"/>
              <w:rPr>
                <w:rFonts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cs="宋体" w:asciiTheme="minorEastAsia" w:hAnsiTheme="minorEastAsia"/>
                <w:kern w:val="0"/>
                <w:sz w:val="18"/>
                <w:szCs w:val="18"/>
                <w:lang w:val="en-US" w:eastAsia="zh-CN"/>
              </w:rPr>
              <w:t>包芯线横截面长轴与短轴之比</w:t>
            </w:r>
          </w:p>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cs="宋体" w:asciiTheme="minorEastAsia" w:hAnsiTheme="minorEastAsia"/>
                <w:kern w:val="0"/>
                <w:sz w:val="18"/>
                <w:szCs w:val="18"/>
                <w:lang w:val="en-US" w:eastAsia="zh-CN"/>
              </w:rPr>
              <w:t>（≤）</w:t>
            </w:r>
          </w:p>
        </w:tc>
        <w:tc>
          <w:tcPr>
            <w:tcW w:w="1385"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JB/T 13472-2018中 5.2.1</w:t>
            </w:r>
          </w:p>
        </w:tc>
        <w:tc>
          <w:tcPr>
            <w:tcW w:w="295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1.015</w:t>
            </w:r>
          </w:p>
        </w:tc>
        <w:tc>
          <w:tcPr>
            <w:tcW w:w="1559" w:type="dxa"/>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rPr>
            </w:pPr>
            <w:r>
              <w:rPr>
                <w:rFonts w:hint="eastAsia" w:cs="宋体" w:asciiTheme="minorEastAsia" w:hAnsiTheme="minorEastAsia"/>
                <w:kern w:val="0"/>
                <w:sz w:val="18"/>
                <w:szCs w:val="18"/>
                <w:lang w:val="en-US" w:eastAsia="zh-CN"/>
              </w:rPr>
              <w:t>见附录A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28" w:type="dxa"/>
            <w:shd w:val="clear" w:color="auto" w:fill="auto"/>
            <w:vAlign w:val="center"/>
          </w:tcPr>
          <w:p>
            <w:pPr>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w:t>
            </w:r>
          </w:p>
        </w:tc>
        <w:tc>
          <w:tcPr>
            <w:tcW w:w="1220" w:type="dxa"/>
            <w:vMerge w:val="continue"/>
            <w:shd w:val="clear" w:color="auto" w:fill="auto"/>
            <w:vAlign w:val="center"/>
          </w:tcPr>
          <w:p>
            <w:pPr>
              <w:jc w:val="center"/>
              <w:rPr>
                <w:rFonts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Si含量</w:t>
            </w:r>
          </w:p>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w:t>
            </w:r>
          </w:p>
        </w:tc>
        <w:tc>
          <w:tcPr>
            <w:tcW w:w="1385" w:type="dxa"/>
            <w:vMerge w:val="restart"/>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JB/T 13472-2018中5.1.1</w:t>
            </w:r>
          </w:p>
        </w:tc>
        <w:tc>
          <w:tcPr>
            <w:tcW w:w="0" w:type="auto"/>
            <w:gridSpan w:val="3"/>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rPr>
            </w:pPr>
            <w:r>
              <w:rPr>
                <w:rFonts w:hint="eastAsia" w:ascii="宋体" w:hAnsi="宋体" w:eastAsia="宋体" w:cs="宋体"/>
                <w:i w:val="0"/>
                <w:iCs w:val="0"/>
                <w:color w:val="000000"/>
                <w:kern w:val="0"/>
                <w:sz w:val="18"/>
                <w:szCs w:val="18"/>
                <w:u w:val="none"/>
                <w:lang w:val="en-US" w:eastAsia="zh-CN" w:bidi="ar"/>
              </w:rPr>
              <w:t>＜48</w:t>
            </w:r>
          </w:p>
        </w:tc>
        <w:tc>
          <w:tcPr>
            <w:tcW w:w="0" w:type="auto"/>
            <w:vMerge w:val="restart"/>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JB/T 13472-2018中6.1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28" w:type="dxa"/>
            <w:shd w:val="clear" w:color="auto" w:fill="auto"/>
            <w:vAlign w:val="center"/>
          </w:tcPr>
          <w:p>
            <w:pPr>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w:t>
            </w:r>
          </w:p>
        </w:tc>
        <w:tc>
          <w:tcPr>
            <w:tcW w:w="1220" w:type="dxa"/>
            <w:vMerge w:val="continue"/>
            <w:shd w:val="clear" w:color="auto" w:fill="auto"/>
            <w:vAlign w:val="center"/>
          </w:tcPr>
          <w:p>
            <w:pPr>
              <w:jc w:val="center"/>
              <w:rPr>
                <w:rFonts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Al含量</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85" w:type="dxa"/>
            <w:vMerge w:val="continue"/>
            <w:shd w:val="clear" w:color="auto" w:fill="auto"/>
            <w:vAlign w:val="center"/>
          </w:tcPr>
          <w:p>
            <w:pPr>
              <w:jc w:val="center"/>
              <w:rPr>
                <w:rFonts w:hint="eastAsia" w:cs="宋体" w:asciiTheme="minorEastAsia" w:hAnsiTheme="minorEastAsia"/>
                <w:kern w:val="0"/>
                <w:sz w:val="18"/>
                <w:szCs w:val="18"/>
              </w:rPr>
            </w:pPr>
          </w:p>
        </w:tc>
        <w:tc>
          <w:tcPr>
            <w:tcW w:w="0" w:type="auto"/>
            <w:gridSpan w:val="3"/>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0" w:type="auto"/>
            <w:vMerge w:val="continue"/>
            <w:shd w:val="clear" w:color="auto" w:fill="auto"/>
            <w:vAlign w:val="center"/>
          </w:tcPr>
          <w:p>
            <w:pPr>
              <w:jc w:val="center"/>
              <w:rPr>
                <w:rFonts w:hint="eastAsia"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628" w:type="dxa"/>
            <w:shd w:val="clear" w:color="auto" w:fill="auto"/>
            <w:vAlign w:val="center"/>
          </w:tcPr>
          <w:p>
            <w:pPr>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w:t>
            </w:r>
          </w:p>
        </w:tc>
        <w:tc>
          <w:tcPr>
            <w:tcW w:w="1220" w:type="dxa"/>
            <w:vMerge w:val="continue"/>
            <w:shd w:val="clear" w:color="auto" w:fill="auto"/>
            <w:vAlign w:val="center"/>
          </w:tcPr>
          <w:p>
            <w:pPr>
              <w:jc w:val="center"/>
              <w:rPr>
                <w:rFonts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Ti含量</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85" w:type="dxa"/>
            <w:vMerge w:val="continue"/>
            <w:shd w:val="clear" w:color="auto" w:fill="auto"/>
            <w:vAlign w:val="center"/>
          </w:tcPr>
          <w:p>
            <w:pPr>
              <w:jc w:val="center"/>
              <w:rPr>
                <w:rFonts w:hint="eastAsia" w:cs="宋体" w:asciiTheme="minorEastAsia" w:hAnsiTheme="minorEastAsia"/>
                <w:kern w:val="0"/>
                <w:sz w:val="18"/>
                <w:szCs w:val="18"/>
              </w:rPr>
            </w:pPr>
          </w:p>
        </w:tc>
        <w:tc>
          <w:tcPr>
            <w:tcW w:w="0" w:type="auto"/>
            <w:gridSpan w:val="3"/>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＜0.3</w:t>
            </w:r>
          </w:p>
        </w:tc>
        <w:tc>
          <w:tcPr>
            <w:tcW w:w="0" w:type="auto"/>
            <w:vMerge w:val="continue"/>
            <w:shd w:val="clear" w:color="auto" w:fill="auto"/>
            <w:vAlign w:val="center"/>
          </w:tcPr>
          <w:p>
            <w:pPr>
              <w:jc w:val="center"/>
              <w:rPr>
                <w:rFonts w:hint="eastAsia"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28" w:type="dxa"/>
            <w:shd w:val="clear" w:color="auto" w:fill="auto"/>
            <w:vAlign w:val="center"/>
          </w:tcPr>
          <w:p>
            <w:pPr>
              <w:keepNext w:val="0"/>
              <w:keepLines w:val="0"/>
              <w:widowControl/>
              <w:suppressLineNumbers w:val="0"/>
              <w:jc w:val="center"/>
              <w:textAlignment w:val="center"/>
              <w:rPr>
                <w:rFonts w:hint="default" w:cs="宋体" w:asciiTheme="minorEastAsia" w:hAnsiTheme="minorEastAsia"/>
                <w:color w:val="000000"/>
                <w:kern w:val="0"/>
                <w:sz w:val="18"/>
                <w:szCs w:val="18"/>
                <w:lang w:val="en-US"/>
              </w:rPr>
            </w:pPr>
            <w:r>
              <w:rPr>
                <w:rFonts w:hint="eastAsia" w:ascii="宋体" w:hAnsi="宋体" w:eastAsia="宋体" w:cs="宋体"/>
                <w:i w:val="0"/>
                <w:iCs w:val="0"/>
                <w:color w:val="000000"/>
                <w:kern w:val="0"/>
                <w:sz w:val="18"/>
                <w:szCs w:val="18"/>
                <w:u w:val="none"/>
                <w:lang w:val="en-US" w:eastAsia="zh-CN" w:bidi="ar"/>
              </w:rPr>
              <w:t>9</w:t>
            </w:r>
          </w:p>
        </w:tc>
        <w:tc>
          <w:tcPr>
            <w:tcW w:w="1220" w:type="dxa"/>
            <w:vMerge w:val="restart"/>
            <w:shd w:val="clear" w:color="auto" w:fill="auto"/>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iCs w:val="0"/>
                <w:color w:val="000000"/>
                <w:kern w:val="0"/>
                <w:sz w:val="18"/>
                <w:szCs w:val="18"/>
                <w:u w:val="none"/>
                <w:lang w:val="en-US" w:eastAsia="zh-CN" w:bidi="ar"/>
              </w:rPr>
              <w:t>核心指标</w:t>
            </w: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Mg含量波动范围</w:t>
            </w:r>
          </w:p>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w:t>
            </w:r>
          </w:p>
        </w:tc>
        <w:tc>
          <w:tcPr>
            <w:tcW w:w="1385" w:type="dxa"/>
            <w:vMerge w:val="restart"/>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JB/T 13472-2018中5.1.1</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eastAsia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±0.5</w:t>
            </w:r>
          </w:p>
        </w:tc>
        <w:tc>
          <w:tcPr>
            <w:tcW w:w="0" w:type="auto"/>
            <w:shd w:val="clear" w:color="auto" w:fill="auto"/>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18"/>
                <w:szCs w:val="18"/>
                <w:u w:val="none"/>
                <w:lang w:val="en-US" w:eastAsia="zh-CN" w:bidi="ar"/>
              </w:rPr>
              <w:t>±0.7</w:t>
            </w:r>
          </w:p>
        </w:tc>
        <w:tc>
          <w:tcPr>
            <w:tcW w:w="0" w:type="auto"/>
            <w:shd w:val="clear" w:color="auto" w:fill="auto"/>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18"/>
                <w:szCs w:val="18"/>
                <w:u w:val="none"/>
                <w:lang w:val="en-US" w:eastAsia="zh-CN" w:bidi="ar"/>
              </w:rPr>
              <w:t>±1</w:t>
            </w:r>
          </w:p>
        </w:tc>
        <w:tc>
          <w:tcPr>
            <w:tcW w:w="0" w:type="auto"/>
            <w:vMerge w:val="restart"/>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rPr>
            </w:pPr>
            <w:r>
              <w:rPr>
                <w:rFonts w:hint="eastAsia" w:ascii="宋体" w:hAnsi="宋体" w:eastAsia="宋体" w:cs="宋体"/>
                <w:i w:val="0"/>
                <w:iCs w:val="0"/>
                <w:color w:val="000000"/>
                <w:kern w:val="0"/>
                <w:sz w:val="18"/>
                <w:szCs w:val="18"/>
                <w:u w:val="none"/>
                <w:lang w:val="en-US" w:eastAsia="zh-CN" w:bidi="ar"/>
              </w:rPr>
              <w:t>JB/T 13472-2018中6.1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noWrap/>
            <w:vAlign w:val="center"/>
          </w:tcPr>
          <w:p>
            <w:pPr>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w:t>
            </w:r>
          </w:p>
        </w:tc>
        <w:tc>
          <w:tcPr>
            <w:tcW w:w="1220" w:type="dxa"/>
            <w:vMerge w:val="continue"/>
            <w:shd w:val="clear" w:color="auto" w:fill="auto"/>
            <w:noWrap/>
            <w:vAlign w:val="center"/>
          </w:tcPr>
          <w:p>
            <w:pPr>
              <w:jc w:val="center"/>
              <w:rPr>
                <w:rFonts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Re含量波动范围</w:t>
            </w:r>
          </w:p>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w:t>
            </w:r>
          </w:p>
        </w:tc>
        <w:tc>
          <w:tcPr>
            <w:tcW w:w="1385" w:type="dxa"/>
            <w:vMerge w:val="continue"/>
            <w:shd w:val="clear" w:color="auto" w:fill="auto"/>
            <w:vAlign w:val="center"/>
          </w:tcPr>
          <w:p>
            <w:pPr>
              <w:jc w:val="center"/>
              <w:rPr>
                <w:rFonts w:hint="eastAsia" w:cs="宋体" w:asciiTheme="minorEastAsia" w:hAnsiTheme="minorEastAsia"/>
                <w:kern w:val="0"/>
                <w:sz w:val="18"/>
                <w:szCs w:val="18"/>
                <w:lang w:val="en-US" w:eastAsia="zh-CN"/>
              </w:rPr>
            </w:pP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±0.3</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±0.4</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±0.5</w:t>
            </w:r>
          </w:p>
        </w:tc>
        <w:tc>
          <w:tcPr>
            <w:tcW w:w="0" w:type="auto"/>
            <w:vMerge w:val="continue"/>
            <w:shd w:val="clear" w:color="auto" w:fill="auto"/>
            <w:vAlign w:val="center"/>
          </w:tcPr>
          <w:p>
            <w:pPr>
              <w:jc w:val="center"/>
              <w:rPr>
                <w:rFonts w:hint="eastAsia"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28" w:type="dxa"/>
            <w:shd w:val="clear" w:color="auto" w:fill="auto"/>
            <w:noWrap/>
            <w:vAlign w:val="center"/>
          </w:tcPr>
          <w:p>
            <w:pPr>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w:t>
            </w:r>
          </w:p>
        </w:tc>
        <w:tc>
          <w:tcPr>
            <w:tcW w:w="1220" w:type="dxa"/>
            <w:vMerge w:val="continue"/>
            <w:shd w:val="clear" w:color="auto" w:fill="auto"/>
            <w:noWrap/>
            <w:vAlign w:val="center"/>
          </w:tcPr>
          <w:p>
            <w:pPr>
              <w:jc w:val="center"/>
              <w:rPr>
                <w:rFonts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Ca含量波动范围</w:t>
            </w:r>
          </w:p>
          <w:p>
            <w:pPr>
              <w:keepNext w:val="0"/>
              <w:keepLines w:val="0"/>
              <w:widowControl/>
              <w:suppressLineNumbers w:val="0"/>
              <w:jc w:val="center"/>
              <w:textAlignment w:val="center"/>
              <w:rPr>
                <w:rFonts w:hint="eastAsia" w:cs="宋体" w:asciiTheme="minorEastAsia" w:hAnsiTheme="minorEastAsia" w:eastAsiaTheme="minorEastAsia"/>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385" w:type="dxa"/>
            <w:vMerge w:val="continue"/>
            <w:shd w:val="clear" w:color="auto" w:fill="auto"/>
            <w:vAlign w:val="center"/>
          </w:tcPr>
          <w:p>
            <w:pPr>
              <w:jc w:val="center"/>
              <w:rPr>
                <w:rFonts w:hint="eastAsia" w:cs="宋体" w:asciiTheme="minorEastAsia" w:hAnsiTheme="minorEastAsia" w:eastAsiaTheme="minorEastAsia"/>
                <w:color w:val="000000"/>
                <w:kern w:val="0"/>
                <w:sz w:val="18"/>
                <w:szCs w:val="18"/>
                <w:lang w:val="en-US" w:eastAsia="zh-CN" w:bidi="ar-SA"/>
              </w:rPr>
            </w:pPr>
          </w:p>
        </w:tc>
        <w:tc>
          <w:tcPr>
            <w:tcW w:w="0" w:type="auto"/>
            <w:shd w:val="clear" w:color="auto" w:fill="auto"/>
            <w:vAlign w:val="center"/>
          </w:tcPr>
          <w:p>
            <w:pPr>
              <w:keepNext w:val="0"/>
              <w:keepLines w:val="0"/>
              <w:widowControl/>
              <w:suppressLineNumbers w:val="0"/>
              <w:jc w:val="center"/>
              <w:textAlignment w:val="center"/>
              <w:rPr>
                <w:rFonts w:hint="eastAsia" w:ascii="仿宋" w:hAnsi="仿宋" w:eastAsia="仿宋"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±0.3</w:t>
            </w:r>
          </w:p>
        </w:tc>
        <w:tc>
          <w:tcPr>
            <w:tcW w:w="0" w:type="auto"/>
            <w:shd w:val="clear" w:color="auto" w:fill="auto"/>
            <w:vAlign w:val="center"/>
          </w:tcPr>
          <w:p>
            <w:pPr>
              <w:keepNext w:val="0"/>
              <w:keepLines w:val="0"/>
              <w:widowControl/>
              <w:suppressLineNumbers w:val="0"/>
              <w:jc w:val="center"/>
              <w:textAlignment w:val="center"/>
              <w:rPr>
                <w:rFonts w:hint="eastAsia" w:ascii="仿宋" w:hAnsi="仿宋" w:eastAsia="仿宋"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±0.4</w:t>
            </w:r>
          </w:p>
        </w:tc>
        <w:tc>
          <w:tcPr>
            <w:tcW w:w="0" w:type="auto"/>
            <w:shd w:val="clear" w:color="auto" w:fill="auto"/>
            <w:vAlign w:val="center"/>
          </w:tcPr>
          <w:p>
            <w:pPr>
              <w:keepNext w:val="0"/>
              <w:keepLines w:val="0"/>
              <w:widowControl/>
              <w:suppressLineNumbers w:val="0"/>
              <w:jc w:val="center"/>
              <w:textAlignment w:val="center"/>
              <w:rPr>
                <w:rFonts w:hint="eastAsia" w:ascii="仿宋" w:hAnsi="仿宋" w:eastAsia="仿宋"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±0.5</w:t>
            </w:r>
          </w:p>
        </w:tc>
        <w:tc>
          <w:tcPr>
            <w:tcW w:w="0" w:type="auto"/>
            <w:vMerge w:val="continue"/>
            <w:shd w:val="clear" w:color="auto" w:fill="auto"/>
            <w:vAlign w:val="center"/>
          </w:tcPr>
          <w:p>
            <w:pPr>
              <w:jc w:val="center"/>
              <w:rPr>
                <w:rFonts w:hint="eastAsia" w:cs="宋体" w:asciiTheme="minorEastAsia" w:hAnsiTheme="minorEastAsia"/>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28" w:type="dxa"/>
            <w:shd w:val="clear" w:color="auto" w:fill="auto"/>
            <w:noWrap/>
            <w:vAlign w:val="center"/>
          </w:tcPr>
          <w:p>
            <w:pPr>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w:t>
            </w:r>
          </w:p>
        </w:tc>
        <w:tc>
          <w:tcPr>
            <w:tcW w:w="1220" w:type="dxa"/>
            <w:vMerge w:val="continue"/>
            <w:shd w:val="clear" w:color="auto" w:fill="auto"/>
            <w:noWrap/>
            <w:vAlign w:val="center"/>
          </w:tcPr>
          <w:p>
            <w:pPr>
              <w:jc w:val="center"/>
              <w:rPr>
                <w:rFonts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超过上限粒度占比</w:t>
            </w:r>
            <w:r>
              <w:rPr>
                <w:rFonts w:hint="eastAsia" w:ascii="宋体" w:hAnsi="宋体" w:eastAsia="宋体" w:cs="宋体"/>
                <w:i w:val="0"/>
                <w:iCs w:val="0"/>
                <w:color w:val="000000"/>
                <w:kern w:val="0"/>
                <w:sz w:val="28"/>
                <w:szCs w:val="28"/>
                <w:u w:val="none"/>
                <w:vertAlign w:val="superscript"/>
                <w:lang w:val="en-US" w:eastAsia="zh-CN" w:bidi="ar"/>
              </w:rPr>
              <w:t>b</w:t>
            </w:r>
          </w:p>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w:t>
            </w:r>
          </w:p>
        </w:tc>
        <w:tc>
          <w:tcPr>
            <w:tcW w:w="1385"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13472-2018中5.2.2</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color w:val="auto"/>
                <w:kern w:val="0"/>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color w:val="auto"/>
                <w:kern w:val="0"/>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color w:val="auto"/>
                <w:kern w:val="0"/>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noWrap/>
            <w:vAlign w:val="center"/>
          </w:tcPr>
          <w:p>
            <w:pPr>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w:t>
            </w:r>
          </w:p>
        </w:tc>
        <w:tc>
          <w:tcPr>
            <w:tcW w:w="1220" w:type="dxa"/>
            <w:vMerge w:val="continue"/>
            <w:shd w:val="clear" w:color="auto" w:fill="auto"/>
            <w:noWrap/>
            <w:vAlign w:val="center"/>
          </w:tcPr>
          <w:p>
            <w:pPr>
              <w:jc w:val="center"/>
              <w:rPr>
                <w:rFonts w:hint="eastAsia" w:cs="宋体" w:asciiTheme="minorEastAsia" w:hAnsiTheme="minorEastAsia"/>
                <w:color w:val="000000"/>
                <w:kern w:val="0"/>
                <w:sz w:val="18"/>
                <w:szCs w:val="18"/>
              </w:rPr>
            </w:pPr>
          </w:p>
        </w:tc>
        <w:tc>
          <w:tcPr>
            <w:tcW w:w="2110" w:type="dxa"/>
            <w:shd w:val="clear" w:color="auto" w:fill="auto"/>
            <w:vAlign w:val="center"/>
          </w:tcPr>
          <w:p>
            <w:pPr>
              <w:widowControl/>
              <w:jc w:val="center"/>
              <w:textAlignment w:val="center"/>
              <w:rPr>
                <w:rFonts w:hint="eastAsia"/>
                <w:lang w:val="en-US" w:eastAsia="zh-CN"/>
              </w:rPr>
            </w:pPr>
            <w:r>
              <w:rPr>
                <w:rFonts w:hint="eastAsia" w:ascii="宋体" w:hAnsi="宋体" w:eastAsia="宋体" w:cs="宋体"/>
                <w:i w:val="0"/>
                <w:iCs w:val="0"/>
                <w:color w:val="000000"/>
                <w:kern w:val="0"/>
                <w:sz w:val="18"/>
                <w:szCs w:val="18"/>
                <w:u w:val="none"/>
                <w:lang w:val="en-US" w:eastAsia="zh-CN" w:bidi="ar"/>
              </w:rPr>
              <w:t>超过下限粒度占比</w:t>
            </w:r>
            <w:r>
              <w:rPr>
                <w:rFonts w:hint="eastAsia" w:ascii="宋体" w:hAnsi="宋体" w:eastAsia="宋体" w:cs="宋体"/>
                <w:i w:val="0"/>
                <w:iCs w:val="0"/>
                <w:color w:val="000000"/>
                <w:kern w:val="0"/>
                <w:sz w:val="28"/>
                <w:szCs w:val="28"/>
                <w:u w:val="none"/>
                <w:vertAlign w:val="superscript"/>
                <w:lang w:val="en-US" w:eastAsia="zh-CN" w:bidi="ar"/>
              </w:rPr>
              <w:t>c</w:t>
            </w:r>
          </w:p>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w:t>
            </w:r>
          </w:p>
        </w:tc>
        <w:tc>
          <w:tcPr>
            <w:tcW w:w="1385"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T/CFA 020208012 — 2021中5.2.2</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≤5.0</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≤15</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T/CFA 020208012 — 2021中6.3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noWrap/>
            <w:vAlign w:val="center"/>
          </w:tcPr>
          <w:p>
            <w:pPr>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w:t>
            </w:r>
          </w:p>
        </w:tc>
        <w:tc>
          <w:tcPr>
            <w:tcW w:w="1220" w:type="dxa"/>
            <w:vMerge w:val="continue"/>
            <w:shd w:val="clear" w:color="auto" w:fill="auto"/>
            <w:noWrap/>
            <w:vAlign w:val="center"/>
          </w:tcPr>
          <w:p>
            <w:pPr>
              <w:jc w:val="center"/>
              <w:rPr>
                <w:rFonts w:hint="eastAsia"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氧化镁含量与总镁量的比值</w:t>
            </w:r>
          </w:p>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385" w:type="dxa"/>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13472-2018中5.1.2</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≤4.5</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0" w:type="auto"/>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JB/T 13472-2018中6.1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28" w:type="dxa"/>
            <w:shd w:val="clear" w:color="auto" w:fill="auto"/>
            <w:noWrap/>
            <w:vAlign w:val="center"/>
          </w:tcPr>
          <w:p>
            <w:pPr>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w:t>
            </w:r>
          </w:p>
        </w:tc>
        <w:tc>
          <w:tcPr>
            <w:tcW w:w="1220" w:type="dxa"/>
            <w:vMerge w:val="continue"/>
            <w:shd w:val="clear" w:color="auto" w:fill="auto"/>
            <w:noWrap/>
            <w:vAlign w:val="center"/>
          </w:tcPr>
          <w:p>
            <w:pPr>
              <w:jc w:val="center"/>
              <w:rPr>
                <w:rFonts w:hint="eastAsia" w:cs="宋体" w:asciiTheme="minorEastAsia" w:hAnsiTheme="minorEastAsia"/>
                <w:color w:val="000000"/>
                <w:kern w:val="0"/>
                <w:sz w:val="18"/>
                <w:szCs w:val="18"/>
              </w:rPr>
            </w:pPr>
          </w:p>
        </w:tc>
        <w:tc>
          <w:tcPr>
            <w:tcW w:w="2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每米包芯线芯料质量波动范围</w:t>
            </w:r>
            <w:r>
              <w:rPr>
                <w:rFonts w:hint="eastAsia" w:ascii="宋体" w:hAnsi="宋体" w:eastAsia="宋体" w:cs="宋体"/>
                <w:i w:val="0"/>
                <w:iCs w:val="0"/>
                <w:color w:val="000000"/>
                <w:kern w:val="0"/>
                <w:sz w:val="28"/>
                <w:szCs w:val="28"/>
                <w:u w:val="none"/>
                <w:vertAlign w:val="superscript"/>
                <w:lang w:val="en-US" w:eastAsia="zh-CN" w:bidi="ar"/>
              </w:rPr>
              <w:t>d</w:t>
            </w:r>
          </w:p>
          <w:p>
            <w:pPr>
              <w:keepNext w:val="0"/>
              <w:keepLines w:val="0"/>
              <w:widowControl/>
              <w:suppressLineNumbers w:val="0"/>
              <w:jc w:val="center"/>
              <w:textAlignment w:val="center"/>
              <w:rPr>
                <w:rFonts w:hint="default" w:cs="宋体" w:asciiTheme="minorEastAsia" w:hAnsiTheme="minorEastAsia" w:eastAsiaTheme="minorEastAsia"/>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385"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T/CFA 020208012 — 2021中5.1</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textAlignment w:val="center"/>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top"/>
          </w:tcPr>
          <w:p>
            <w:pPr>
              <w:keepNext w:val="0"/>
              <w:keepLines w:val="0"/>
              <w:widowControl/>
              <w:suppressLineNumbers w:val="0"/>
              <w:jc w:val="center"/>
              <w:textAlignment w:val="top"/>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T/CFA 020208012 — 2021中6.2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8" w:type="dxa"/>
            <w:shd w:val="clear" w:color="auto" w:fill="auto"/>
            <w:noWrap/>
            <w:vAlign w:val="center"/>
          </w:tcPr>
          <w:p>
            <w:pPr>
              <w:keepNext w:val="0"/>
              <w:keepLines w:val="0"/>
              <w:widowControl/>
              <w:suppressLineNumbers w:val="0"/>
              <w:jc w:val="center"/>
              <w:textAlignment w:val="center"/>
              <w:rPr>
                <w:rFonts w:hint="default" w:cs="宋体" w:asciiTheme="minorEastAsia" w:hAnsiTheme="minorEastAsia"/>
                <w:color w:val="000000"/>
                <w:kern w:val="0"/>
                <w:sz w:val="18"/>
                <w:szCs w:val="18"/>
                <w:lang w:val="en-US"/>
              </w:rPr>
            </w:pPr>
            <w:r>
              <w:rPr>
                <w:rFonts w:hint="eastAsia" w:ascii="宋体" w:hAnsi="宋体" w:eastAsia="宋体" w:cs="宋体"/>
                <w:i w:val="0"/>
                <w:iCs w:val="0"/>
                <w:color w:val="000000"/>
                <w:kern w:val="0"/>
                <w:sz w:val="18"/>
                <w:szCs w:val="18"/>
                <w:u w:val="none"/>
                <w:lang w:val="en-US" w:eastAsia="zh-CN" w:bidi="ar"/>
              </w:rPr>
              <w:t>16</w:t>
            </w:r>
          </w:p>
        </w:tc>
        <w:tc>
          <w:tcPr>
            <w:tcW w:w="1220" w:type="dxa"/>
            <w:vMerge w:val="restart"/>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color w:val="000000"/>
                <w:kern w:val="0"/>
                <w:sz w:val="18"/>
                <w:szCs w:val="18"/>
              </w:rPr>
            </w:pPr>
            <w:r>
              <w:rPr>
                <w:rFonts w:hint="eastAsia" w:ascii="宋体" w:hAnsi="宋体" w:eastAsia="宋体" w:cs="宋体"/>
                <w:i w:val="0"/>
                <w:iCs w:val="0"/>
                <w:color w:val="000000"/>
                <w:kern w:val="0"/>
                <w:sz w:val="18"/>
                <w:szCs w:val="18"/>
                <w:u w:val="none"/>
                <w:lang w:val="en-US" w:eastAsia="zh-CN" w:bidi="ar"/>
              </w:rPr>
              <w:t>创新性指标</w:t>
            </w:r>
          </w:p>
        </w:tc>
        <w:tc>
          <w:tcPr>
            <w:tcW w:w="2110" w:type="dxa"/>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rPr>
            </w:pPr>
            <w:r>
              <w:rPr>
                <w:rFonts w:hint="eastAsia" w:ascii="宋体" w:hAnsi="宋体" w:eastAsia="宋体" w:cs="宋体"/>
                <w:i w:val="0"/>
                <w:iCs w:val="0"/>
                <w:color w:val="000000"/>
                <w:kern w:val="0"/>
                <w:sz w:val="18"/>
                <w:szCs w:val="18"/>
                <w:u w:val="none"/>
                <w:lang w:val="en-US" w:eastAsia="zh-CN" w:bidi="ar"/>
              </w:rPr>
              <w:t>扭曲强度</w:t>
            </w:r>
          </w:p>
        </w:tc>
        <w:tc>
          <w:tcPr>
            <w:tcW w:w="1385" w:type="dxa"/>
            <w:shd w:val="clear" w:color="auto" w:fill="auto"/>
            <w:vAlign w:val="center"/>
          </w:tcPr>
          <w:p>
            <w:pPr>
              <w:keepNext w:val="0"/>
              <w:keepLines w:val="0"/>
              <w:widowControl/>
              <w:suppressLineNumbers w:val="0"/>
              <w:jc w:val="center"/>
              <w:textAlignment w:val="center"/>
              <w:rPr>
                <w:rFonts w:hint="default"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T/CFA 020208012 — 2021中5.1</w:t>
            </w:r>
          </w:p>
        </w:tc>
        <w:tc>
          <w:tcPr>
            <w:tcW w:w="0" w:type="auto"/>
            <w:gridSpan w:val="3"/>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ascii="宋体" w:hAnsi="宋体" w:eastAsia="宋体" w:cs="宋体"/>
                <w:spacing w:val="-15"/>
                <w:sz w:val="18"/>
                <w:szCs w:val="18"/>
              </w:rPr>
              <w:t>单位长度包芯线， 正反</w:t>
            </w:r>
            <w:r>
              <w:rPr>
                <w:rFonts w:ascii="宋体" w:hAnsi="宋体" w:eastAsia="宋体" w:cs="宋体"/>
                <w:sz w:val="18"/>
                <w:szCs w:val="18"/>
              </w:rPr>
              <w:t xml:space="preserve"> </w:t>
            </w:r>
            <w:r>
              <w:rPr>
                <w:rFonts w:ascii="宋体" w:hAnsi="宋体" w:eastAsia="宋体" w:cs="宋体"/>
                <w:spacing w:val="-11"/>
                <w:sz w:val="18"/>
                <w:szCs w:val="18"/>
              </w:rPr>
              <w:t>扭</w:t>
            </w:r>
            <w:r>
              <w:rPr>
                <w:rFonts w:ascii="宋体" w:hAnsi="宋体" w:eastAsia="宋体" w:cs="宋体"/>
                <w:spacing w:val="-7"/>
                <w:sz w:val="18"/>
                <w:szCs w:val="18"/>
              </w:rPr>
              <w:t>曲旋转3周后无漏粉、开裂现象</w:t>
            </w:r>
          </w:p>
        </w:tc>
        <w:tc>
          <w:tcPr>
            <w:tcW w:w="0" w:type="auto"/>
            <w:shd w:val="clear" w:color="auto" w:fill="auto"/>
            <w:vAlign w:val="center"/>
          </w:tcPr>
          <w:p>
            <w:pPr>
              <w:keepNext w:val="0"/>
              <w:keepLines w:val="0"/>
              <w:widowControl/>
              <w:suppressLineNumbers w:val="0"/>
              <w:jc w:val="center"/>
              <w:textAlignment w:val="top"/>
              <w:rPr>
                <w:rFonts w:hint="eastAsia" w:cs="宋体" w:asciiTheme="minorEastAsia" w:hAnsiTheme="minorEastAsia"/>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T/CFA 020208012 — 2021中6.7.1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28" w:type="dxa"/>
            <w:shd w:val="clear" w:color="auto" w:fill="auto"/>
            <w:noWrap/>
            <w:vAlign w:val="center"/>
          </w:tcPr>
          <w:p>
            <w:pPr>
              <w:jc w:val="center"/>
              <w:rPr>
                <w:rFonts w:hint="default"/>
                <w:lang w:val="en-US" w:eastAsia="zh-CN"/>
              </w:rPr>
            </w:pPr>
            <w:r>
              <w:rPr>
                <w:rFonts w:hint="eastAsia" w:ascii="宋体" w:hAnsi="宋体" w:eastAsia="宋体" w:cs="宋体"/>
                <w:color w:val="000000"/>
                <w:kern w:val="0"/>
                <w:sz w:val="18"/>
                <w:szCs w:val="18"/>
                <w:u w:val="none"/>
                <w:lang w:val="en-US" w:eastAsia="zh-CN" w:bidi="ar"/>
              </w:rPr>
              <w:t>17</w:t>
            </w:r>
          </w:p>
        </w:tc>
        <w:tc>
          <w:tcPr>
            <w:tcW w:w="1220" w:type="dxa"/>
            <w:vMerge w:val="continue"/>
            <w:shd w:val="clear" w:color="auto" w:fill="auto"/>
            <w:noWrap/>
            <w:vAlign w:val="center"/>
          </w:tcPr>
          <w:p>
            <w:pPr>
              <w:jc w:val="center"/>
            </w:pPr>
          </w:p>
        </w:tc>
        <w:tc>
          <w:tcPr>
            <w:tcW w:w="2110" w:type="dxa"/>
            <w:shd w:val="clear" w:color="auto" w:fill="auto"/>
            <w:vAlign w:val="center"/>
          </w:tcPr>
          <w:p>
            <w:pPr>
              <w:keepNext w:val="0"/>
              <w:keepLines w:val="0"/>
              <w:widowControl/>
              <w:suppressLineNumbers w:val="0"/>
              <w:jc w:val="center"/>
              <w:textAlignment w:val="center"/>
              <w:rPr>
                <w:rStyle w:val="87"/>
                <w:rFonts w:hint="default"/>
                <w:lang w:val="en-US" w:eastAsia="zh-CN" w:bidi="ar"/>
              </w:rPr>
            </w:pPr>
            <w:r>
              <w:rPr>
                <w:rFonts w:hint="eastAsia" w:ascii="宋体" w:hAnsi="宋体" w:eastAsia="宋体" w:cs="宋体"/>
                <w:i w:val="0"/>
                <w:iCs w:val="0"/>
                <w:color w:val="000000"/>
                <w:kern w:val="0"/>
                <w:sz w:val="18"/>
                <w:szCs w:val="18"/>
                <w:u w:val="none"/>
                <w:lang w:val="en-US" w:eastAsia="zh-CN" w:bidi="ar"/>
              </w:rPr>
              <w:t>弯曲强度</w:t>
            </w:r>
          </w:p>
        </w:tc>
        <w:tc>
          <w:tcPr>
            <w:tcW w:w="1385" w:type="dxa"/>
            <w:shd w:val="clear" w:color="auto" w:fill="auto"/>
            <w:vAlign w:val="center"/>
          </w:tcPr>
          <w:p>
            <w:pPr>
              <w:jc w:val="center"/>
              <w:rPr>
                <w:rStyle w:val="87"/>
                <w:rFonts w:hint="default"/>
                <w:lang w:val="en-US" w:eastAsia="zh-CN" w:bidi="ar"/>
              </w:rPr>
            </w:pPr>
            <w:r>
              <w:rPr>
                <w:rFonts w:hint="eastAsia" w:ascii="宋体" w:hAnsi="宋体" w:eastAsia="宋体" w:cs="宋体"/>
                <w:i w:val="0"/>
                <w:iCs w:val="0"/>
                <w:color w:val="000000"/>
                <w:kern w:val="0"/>
                <w:sz w:val="18"/>
                <w:szCs w:val="18"/>
                <w:u w:val="none"/>
                <w:lang w:val="en-US" w:eastAsia="zh-CN" w:bidi="ar"/>
              </w:rPr>
              <w:t>T/CFA 020208012 — 2021中5.1</w:t>
            </w:r>
          </w:p>
        </w:tc>
        <w:tc>
          <w:tcPr>
            <w:tcW w:w="0" w:type="auto"/>
            <w:gridSpan w:val="3"/>
            <w:tcBorders>
              <w:right w:val="single" w:color="auto" w:sz="4" w:space="0"/>
            </w:tcBorders>
            <w:shd w:val="clear" w:color="auto" w:fill="auto"/>
            <w:vAlign w:val="center"/>
          </w:tcPr>
          <w:p>
            <w:pPr>
              <w:keepNext w:val="0"/>
              <w:keepLines w:val="0"/>
              <w:widowControl/>
              <w:suppressLineNumbers w:val="0"/>
              <w:ind w:firstLine="421"/>
              <w:jc w:val="center"/>
              <w:textAlignment w:val="auto"/>
              <w:rPr>
                <w:rStyle w:val="87"/>
                <w:lang w:val="en-US" w:eastAsia="zh-CN" w:bidi="ar"/>
              </w:rPr>
            </w:pPr>
            <w:r>
              <w:rPr>
                <w:rFonts w:ascii="宋体" w:hAnsi="宋体" w:eastAsia="宋体" w:cs="宋体"/>
                <w:spacing w:val="-15"/>
                <w:sz w:val="18"/>
                <w:szCs w:val="18"/>
              </w:rPr>
              <w:t>单位长度包芯线， 一正</w:t>
            </w:r>
            <w:r>
              <w:rPr>
                <w:rFonts w:ascii="宋体" w:hAnsi="宋体" w:eastAsia="宋体" w:cs="宋体"/>
                <w:sz w:val="18"/>
                <w:szCs w:val="18"/>
              </w:rPr>
              <w:t xml:space="preserve"> </w:t>
            </w:r>
            <w:r>
              <w:rPr>
                <w:rFonts w:ascii="宋体" w:hAnsi="宋体" w:eastAsia="宋体" w:cs="宋体"/>
                <w:spacing w:val="-16"/>
                <w:sz w:val="18"/>
                <w:szCs w:val="18"/>
              </w:rPr>
              <w:t>一</w:t>
            </w:r>
            <w:r>
              <w:rPr>
                <w:rFonts w:ascii="宋体" w:hAnsi="宋体" w:eastAsia="宋体" w:cs="宋体"/>
                <w:spacing w:val="-10"/>
                <w:sz w:val="18"/>
                <w:szCs w:val="18"/>
              </w:rPr>
              <w:t>反缠绕拉直后， 包芯线弯曲部位</w:t>
            </w:r>
            <w:r>
              <w:rPr>
                <w:rFonts w:ascii="宋体" w:hAnsi="宋体" w:eastAsia="宋体" w:cs="宋体"/>
                <w:sz w:val="18"/>
                <w:szCs w:val="18"/>
              </w:rPr>
              <w:t xml:space="preserve"> </w:t>
            </w:r>
            <w:r>
              <w:rPr>
                <w:rFonts w:ascii="宋体" w:hAnsi="宋体" w:eastAsia="宋体" w:cs="宋体"/>
                <w:spacing w:val="-1"/>
                <w:sz w:val="18"/>
                <w:szCs w:val="18"/>
              </w:rPr>
              <w:t>无断裂、开缝现象</w:t>
            </w:r>
          </w:p>
        </w:tc>
        <w:tc>
          <w:tcPr>
            <w:tcW w:w="0" w:type="auto"/>
            <w:tcBorders>
              <w:left w:val="single" w:color="auto"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T/CFA 020208012 — 2021中6.7.2</w:t>
            </w:r>
          </w:p>
          <w:p>
            <w:pPr>
              <w:jc w:val="center"/>
              <w:rPr>
                <w:rStyle w:val="87"/>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854" w:type="dxa"/>
            <w:gridSpan w:val="8"/>
            <w:shd w:val="clear" w:color="auto" w:fill="auto"/>
            <w:noWrap/>
            <w:vAlign w:val="center"/>
          </w:tcPr>
          <w:p>
            <w:pPr>
              <w:ind w:firstLine="360" w:firstLineChars="200"/>
              <w:jc w:val="left"/>
              <w:rPr>
                <w:rStyle w:val="87"/>
                <w:rFonts w:hint="eastAsia"/>
                <w:lang w:val="en-US" w:eastAsia="zh-CN" w:bidi="ar"/>
              </w:rPr>
            </w:pPr>
            <w:r>
              <w:rPr>
                <w:rStyle w:val="87"/>
                <w:rFonts w:hint="eastAsia" w:ascii="黑体" w:hAnsi="黑体" w:eastAsia="黑体" w:cs="黑体"/>
                <w:lang w:val="en-US" w:eastAsia="zh-CN" w:bidi="ar"/>
              </w:rPr>
              <w:t>注1：</w:t>
            </w:r>
            <w:r>
              <w:rPr>
                <w:rFonts w:hint="eastAsia" w:ascii="宋体" w:hAnsi="宋体" w:eastAsia="宋体" w:cs="宋体"/>
                <w:i w:val="0"/>
                <w:iCs w:val="0"/>
                <w:color w:val="000000"/>
                <w:kern w:val="0"/>
                <w:sz w:val="18"/>
                <w:szCs w:val="18"/>
                <w:u w:val="none"/>
                <w:lang w:val="en-US" w:eastAsia="zh-CN" w:bidi="ar"/>
              </w:rPr>
              <w:t>超过上限粒度的范围指2.5mm≤粒度＜3mm。</w:t>
            </w:r>
          </w:p>
          <w:p>
            <w:pPr>
              <w:ind w:firstLine="360" w:firstLineChars="200"/>
              <w:jc w:val="left"/>
              <w:rPr>
                <w:rStyle w:val="87"/>
                <w:rFonts w:hint="default"/>
                <w:lang w:val="en-US" w:eastAsia="zh-CN" w:bidi="ar"/>
              </w:rPr>
            </w:pPr>
            <w:r>
              <w:rPr>
                <w:rStyle w:val="87"/>
                <w:rFonts w:hint="eastAsia" w:ascii="黑体" w:hAnsi="黑体" w:eastAsia="黑体" w:cs="黑体"/>
                <w:lang w:val="en-US" w:eastAsia="zh-CN" w:bidi="ar"/>
              </w:rPr>
              <w:t>注2：</w:t>
            </w:r>
            <w:r>
              <w:rPr>
                <w:rFonts w:hint="eastAsia" w:ascii="宋体" w:hAnsi="宋体" w:eastAsia="宋体" w:cs="宋体"/>
                <w:i w:val="0"/>
                <w:iCs w:val="0"/>
                <w:color w:val="000000"/>
                <w:kern w:val="0"/>
                <w:sz w:val="18"/>
                <w:szCs w:val="18"/>
                <w:u w:val="none"/>
                <w:lang w:val="en-US" w:eastAsia="zh-CN" w:bidi="ar"/>
              </w:rPr>
              <w:t>超过下限粒度的范围指粒度＜0.1mm。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0" w:type="auto"/>
            <w:gridSpan w:val="8"/>
            <w:shd w:val="clear" w:color="auto" w:fill="auto"/>
            <w:noWrap/>
            <w:vAlign w:val="center"/>
          </w:tcPr>
          <w:p>
            <w:pPr>
              <w:keepNext w:val="0"/>
              <w:keepLines w:val="0"/>
              <w:pageBreakBefore w:val="0"/>
              <w:kinsoku/>
              <w:wordWrap/>
              <w:overflowPunct/>
              <w:topLinePunct w:val="0"/>
              <w:autoSpaceDE/>
              <w:autoSpaceDN/>
              <w:bidi w:val="0"/>
              <w:adjustRightInd/>
              <w:snapToGrid/>
              <w:ind w:left="0" w:leftChars="0" w:firstLine="360" w:firstLineChars="200"/>
              <w:jc w:val="left"/>
              <w:rPr>
                <w:rFonts w:hint="default"/>
                <w:sz w:val="18"/>
                <w:szCs w:val="18"/>
                <w:lang w:val="en-US" w:eastAsia="zh-CN"/>
              </w:rPr>
            </w:pPr>
            <w:r>
              <w:rPr>
                <w:rFonts w:hint="eastAsia" w:ascii="黑体" w:hAnsi="黑体" w:eastAsia="黑体" w:cs="黑体"/>
                <w:sz w:val="18"/>
                <w:szCs w:val="18"/>
                <w:lang w:val="en-US" w:eastAsia="zh-CN"/>
              </w:rPr>
              <w:t>a:</w:t>
            </w:r>
            <w:r>
              <w:rPr>
                <w:rFonts w:hint="eastAsia"/>
                <w:sz w:val="18"/>
                <w:szCs w:val="18"/>
                <w:lang w:val="en-US" w:eastAsia="zh-CN"/>
              </w:rPr>
              <w:t>实际线径与目标线径的差值(实际线径-目标线径）。</w:t>
            </w:r>
          </w:p>
          <w:p>
            <w:pPr>
              <w:keepNext w:val="0"/>
              <w:keepLines w:val="0"/>
              <w:pageBreakBefore w:val="0"/>
              <w:kinsoku/>
              <w:wordWrap/>
              <w:overflowPunct/>
              <w:topLinePunct w:val="0"/>
              <w:autoSpaceDE/>
              <w:autoSpaceDN/>
              <w:bidi w:val="0"/>
              <w:adjustRightInd/>
              <w:snapToGrid/>
              <w:ind w:left="0" w:leftChars="0" w:firstLine="360" w:firstLineChars="200"/>
              <w:jc w:val="left"/>
              <w:rPr>
                <w:rFonts w:hint="eastAsia"/>
                <w:sz w:val="18"/>
                <w:szCs w:val="18"/>
                <w:lang w:val="en-US" w:eastAsia="zh-CN"/>
              </w:rPr>
            </w:pPr>
            <w:r>
              <w:rPr>
                <w:rFonts w:hint="eastAsia" w:ascii="黑体" w:hAnsi="黑体" w:eastAsia="黑体" w:cs="黑体"/>
                <w:sz w:val="18"/>
                <w:szCs w:val="18"/>
                <w:lang w:val="en-US" w:eastAsia="zh-CN"/>
              </w:rPr>
              <w:t>b:</w:t>
            </w:r>
            <w:r>
              <w:rPr>
                <w:rFonts w:hint="eastAsia"/>
                <w:sz w:val="18"/>
                <w:szCs w:val="18"/>
                <w:lang w:val="en-US" w:eastAsia="zh-CN"/>
              </w:rPr>
              <w:t>超过上限粒度的质量/总质量。</w:t>
            </w:r>
          </w:p>
          <w:p>
            <w:pPr>
              <w:keepNext w:val="0"/>
              <w:keepLines w:val="0"/>
              <w:pageBreakBefore w:val="0"/>
              <w:widowControl/>
              <w:suppressLineNumbers w:val="0"/>
              <w:kinsoku/>
              <w:wordWrap/>
              <w:overflowPunct/>
              <w:topLinePunct w:val="0"/>
              <w:autoSpaceDE/>
              <w:autoSpaceDN/>
              <w:bidi w:val="0"/>
              <w:adjustRightInd/>
              <w:snapToGrid/>
              <w:ind w:left="0" w:leftChars="0" w:firstLine="360" w:firstLineChars="200"/>
              <w:jc w:val="left"/>
              <w:textAlignment w:val="center"/>
              <w:rPr>
                <w:rFonts w:hint="eastAsia"/>
                <w:sz w:val="18"/>
                <w:szCs w:val="18"/>
                <w:lang w:val="en-US" w:eastAsia="zh-CN"/>
              </w:rPr>
            </w:pPr>
            <w:r>
              <w:rPr>
                <w:rFonts w:hint="eastAsia" w:ascii="黑体" w:hAnsi="黑体" w:eastAsia="黑体" w:cs="黑体"/>
                <w:sz w:val="18"/>
                <w:szCs w:val="18"/>
                <w:lang w:val="en-US" w:eastAsia="zh-CN"/>
              </w:rPr>
              <w:t>c:</w:t>
            </w:r>
            <w:r>
              <w:rPr>
                <w:rFonts w:hint="eastAsia"/>
                <w:sz w:val="18"/>
                <w:szCs w:val="18"/>
                <w:lang w:val="en-US" w:eastAsia="zh-CN"/>
              </w:rPr>
              <w:t>超过下限粒度的质量/总质量。</w:t>
            </w:r>
          </w:p>
          <w:p>
            <w:pPr>
              <w:keepNext w:val="0"/>
              <w:keepLines w:val="0"/>
              <w:pageBreakBefore w:val="0"/>
              <w:widowControl w:val="0"/>
              <w:kinsoku/>
              <w:wordWrap/>
              <w:overflowPunct/>
              <w:topLinePunct w:val="0"/>
              <w:autoSpaceDE/>
              <w:autoSpaceDN/>
              <w:bidi w:val="0"/>
              <w:adjustRightInd/>
              <w:snapToGrid/>
              <w:ind w:left="0" w:leftChars="0" w:firstLine="360" w:firstLineChars="200"/>
              <w:jc w:val="left"/>
              <w:textAlignment w:val="auto"/>
              <w:rPr>
                <w:rFonts w:hint="default" w:ascii="宋体" w:hAnsi="宋体" w:eastAsia="宋体" w:cs="宋体"/>
                <w:i w:val="0"/>
                <w:iCs w:val="0"/>
                <w:color w:val="000000"/>
                <w:kern w:val="0"/>
                <w:sz w:val="18"/>
                <w:szCs w:val="18"/>
                <w:u w:val="none"/>
                <w:lang w:val="en-US" w:eastAsia="zh-CN" w:bidi="ar"/>
              </w:rPr>
            </w:pPr>
            <w:r>
              <w:rPr>
                <w:rFonts w:hint="eastAsia" w:ascii="黑体" w:hAnsi="黑体" w:eastAsia="黑体" w:cs="黑体"/>
                <w:sz w:val="18"/>
                <w:szCs w:val="18"/>
                <w:lang w:val="en-US" w:eastAsia="zh-CN"/>
              </w:rPr>
              <w:t>d:</w:t>
            </w:r>
            <w:r>
              <w:rPr>
                <w:rFonts w:hint="eastAsia"/>
                <w:sz w:val="18"/>
                <w:szCs w:val="18"/>
                <w:lang w:val="en-US" w:eastAsia="zh-CN"/>
              </w:rPr>
              <w:t>（实际粉料重量-目标粉料重量）/目标粉料重量。</w:t>
            </w:r>
          </w:p>
        </w:tc>
      </w:tr>
      <w:bookmarkEnd w:id="75"/>
    </w:tbl>
    <w:p>
      <w:pPr>
        <w:spacing w:after="156" w:afterLines="50"/>
        <w:jc w:val="center"/>
        <w:rPr>
          <w:rFonts w:ascii="Times New Roman" w:hAnsi="Times New Roman" w:eastAsia="黑体" w:cs="Times New Roman"/>
          <w:szCs w:val="21"/>
        </w:rPr>
      </w:pPr>
    </w:p>
    <w:p>
      <w:pPr>
        <w:pStyle w:val="3"/>
        <w:spacing w:before="0" w:after="0" w:line="579" w:lineRule="auto"/>
        <w:rPr>
          <w:rFonts w:ascii="Times New Roman" w:hAnsi="Times New Roman" w:eastAsia="黑体" w:cs="Times New Roman"/>
          <w:b w:val="0"/>
          <w:sz w:val="21"/>
          <w:szCs w:val="21"/>
        </w:rPr>
      </w:pPr>
      <w:bookmarkStart w:id="76" w:name="_Toc35353330"/>
      <w:bookmarkStart w:id="77" w:name="_Toc13711"/>
      <w:bookmarkStart w:id="78" w:name="_Toc7068"/>
      <w:bookmarkStart w:id="79" w:name="_Toc323891329"/>
      <w:bookmarkStart w:id="80" w:name="_Toc323891250"/>
      <w:bookmarkStart w:id="81" w:name="_Toc353278168"/>
      <w:bookmarkStart w:id="82" w:name="_Toc324165027"/>
      <w:bookmarkStart w:id="83" w:name="_Toc324165077"/>
      <w:r>
        <w:rPr>
          <w:rFonts w:ascii="Times New Roman" w:hAnsi="Times New Roman" w:eastAsia="黑体" w:cs="Times New Roman"/>
          <w:b w:val="0"/>
          <w:sz w:val="21"/>
          <w:szCs w:val="21"/>
        </w:rPr>
        <w:t xml:space="preserve">5 </w:t>
      </w:r>
      <w:bookmarkEnd w:id="76"/>
      <w:r>
        <w:rPr>
          <w:rFonts w:ascii="Times New Roman" w:hAnsi="黑体" w:eastAsia="黑体" w:cs="Times New Roman"/>
          <w:b w:val="0"/>
          <w:sz w:val="21"/>
          <w:szCs w:val="21"/>
        </w:rPr>
        <w:t>评价方法</w:t>
      </w:r>
      <w:bookmarkEnd w:id="77"/>
      <w:bookmarkEnd w:id="78"/>
    </w:p>
    <w:p>
      <w:pPr>
        <w:spacing w:line="300" w:lineRule="auto"/>
        <w:ind w:firstLine="420" w:firstLineChars="200"/>
        <w:rPr>
          <w:rFonts w:ascii="Times New Roman" w:hAnsi="Times New Roman" w:eastAsia="宋体" w:cs="Times New Roman"/>
        </w:rPr>
      </w:pPr>
      <w:r>
        <w:rPr>
          <w:rFonts w:ascii="Times New Roman" w:hAnsi="宋体" w:eastAsia="宋体" w:cs="Times New Roman"/>
        </w:rPr>
        <w:t>评价结果划分为一级、二级和三级，各等级所对应的划分依据见表</w:t>
      </w:r>
      <w:r>
        <w:rPr>
          <w:rFonts w:ascii="Times New Roman" w:hAnsi="Times New Roman" w:eastAsia="宋体" w:cs="Times New Roman"/>
        </w:rPr>
        <w:t>2</w:t>
      </w:r>
      <w:r>
        <w:rPr>
          <w:rFonts w:ascii="Times New Roman" w:hAnsi="宋体" w:eastAsia="宋体" w:cs="Times New Roman"/>
        </w:rPr>
        <w:t>。达到三级要求及以上的企业标准并按照有关要求进行自我声明公开后均可进入</w:t>
      </w:r>
      <w:r>
        <w:rPr>
          <w:rFonts w:hint="eastAsia" w:ascii="Times New Roman" w:hAnsi="宋体" w:eastAsia="宋体" w:cs="Times New Roman"/>
          <w:lang w:val="en-US" w:eastAsia="zh-CN"/>
        </w:rPr>
        <w:t>球化包芯线</w:t>
      </w:r>
      <w:r>
        <w:rPr>
          <w:rFonts w:ascii="Times New Roman" w:hAnsi="宋体" w:eastAsia="宋体" w:cs="Times New Roman"/>
        </w:rPr>
        <w:t>企业标准排行榜。达到一级要求的企业标准，且按照有关要求进行自我声明公开后，其标准和符合标准的产品或服务可以直接进入</w:t>
      </w:r>
      <w:r>
        <w:rPr>
          <w:rFonts w:hint="eastAsia" w:ascii="Times New Roman" w:hAnsi="宋体" w:eastAsia="宋体" w:cs="Times New Roman"/>
          <w:lang w:val="en-US" w:eastAsia="zh-CN"/>
        </w:rPr>
        <w:t>球化包芯线</w:t>
      </w:r>
      <w:r>
        <w:rPr>
          <w:rFonts w:ascii="Times New Roman" w:hAnsi="宋体" w:eastAsia="宋体" w:cs="Times New Roman"/>
        </w:rPr>
        <w:t>企业标准</w:t>
      </w:r>
      <w:r>
        <w:rPr>
          <w:rFonts w:ascii="Times New Roman" w:hAnsi="Times New Roman" w:eastAsia="宋体" w:cs="Times New Roman"/>
        </w:rPr>
        <w:t>“</w:t>
      </w:r>
      <w:r>
        <w:rPr>
          <w:rFonts w:ascii="Times New Roman" w:hAnsi="宋体" w:eastAsia="宋体" w:cs="Times New Roman"/>
        </w:rPr>
        <w:t>领跑者</w:t>
      </w:r>
      <w:r>
        <w:rPr>
          <w:rFonts w:ascii="Times New Roman" w:hAnsi="Times New Roman" w:eastAsia="宋体" w:cs="Times New Roman"/>
        </w:rPr>
        <w:t>”</w:t>
      </w:r>
      <w:r>
        <w:rPr>
          <w:rFonts w:ascii="Times New Roman" w:hAnsi="宋体" w:eastAsia="宋体" w:cs="Times New Roman"/>
        </w:rPr>
        <w:t>候选名单。</w:t>
      </w:r>
    </w:p>
    <w:bookmarkEnd w:id="79"/>
    <w:bookmarkEnd w:id="80"/>
    <w:bookmarkEnd w:id="81"/>
    <w:bookmarkEnd w:id="82"/>
    <w:bookmarkEnd w:id="83"/>
    <w:p>
      <w:pPr>
        <w:jc w:val="center"/>
        <w:rPr>
          <w:rFonts w:ascii="Times New Roman" w:hAnsi="黑体" w:eastAsia="黑体" w:cs="Times New Roman"/>
          <w:b w:val="0"/>
          <w:sz w:val="21"/>
          <w:szCs w:val="21"/>
        </w:rPr>
      </w:pPr>
    </w:p>
    <w:p>
      <w:pPr>
        <w:jc w:val="center"/>
        <w:rPr>
          <w:rFonts w:ascii="Times New Roman" w:hAnsi="Times New Roman" w:eastAsia="黑体" w:cs="Times New Roman"/>
          <w:b w:val="0"/>
          <w:sz w:val="21"/>
          <w:szCs w:val="21"/>
        </w:rPr>
      </w:pPr>
      <w:r>
        <w:rPr>
          <w:rFonts w:ascii="Times New Roman" w:hAnsi="黑体" w:eastAsia="黑体" w:cs="Times New Roman"/>
          <w:b w:val="0"/>
          <w:sz w:val="21"/>
          <w:szCs w:val="21"/>
        </w:rPr>
        <w:t>表</w:t>
      </w:r>
      <w:r>
        <w:rPr>
          <w:rFonts w:ascii="Times New Roman" w:hAnsi="Times New Roman" w:eastAsia="黑体" w:cs="Times New Roman"/>
          <w:b w:val="0"/>
          <w:sz w:val="21"/>
          <w:szCs w:val="21"/>
        </w:rPr>
        <w:t xml:space="preserve">2 </w:t>
      </w:r>
      <w:r>
        <w:rPr>
          <w:rFonts w:ascii="Times New Roman" w:hAnsi="黑体" w:eastAsia="黑体" w:cs="Times New Roman"/>
          <w:b w:val="0"/>
          <w:sz w:val="21"/>
          <w:szCs w:val="21"/>
        </w:rPr>
        <w:t>指标评价要求及等级划分</w:t>
      </w:r>
    </w:p>
    <w:tbl>
      <w:tblPr>
        <w:tblStyle w:val="24"/>
        <w:tblpPr w:leftFromText="180" w:rightFromText="180" w:vertAnchor="text" w:horzAnchor="page" w:tblpXSpec="center" w:tblpY="295"/>
        <w:tblOverlap w:val="never"/>
        <w:tblW w:w="977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714"/>
        <w:gridCol w:w="1056"/>
        <w:gridCol w:w="1610"/>
        <w:gridCol w:w="2376"/>
        <w:gridCol w:w="30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51" w:hRule="atLeast"/>
        </w:trPr>
        <w:tc>
          <w:tcPr>
            <w:tcW w:w="1714" w:type="dxa"/>
            <w:tcBorders>
              <w:top w:val="single" w:color="000000" w:sz="12" w:space="0"/>
              <w:bottom w:val="single" w:color="000000" w:sz="12" w:space="0"/>
            </w:tcBorders>
            <w:shd w:val="clear" w:color="auto" w:fill="auto"/>
            <w:vAlign w:val="center"/>
          </w:tcPr>
          <w:p>
            <w:pPr>
              <w:spacing w:line="360" w:lineRule="auto"/>
              <w:jc w:val="center"/>
              <w:rPr>
                <w:rFonts w:ascii="Times New Roman" w:hAnsi="Times New Roman" w:eastAsia="宋体" w:cs="Times New Roman"/>
                <w:sz w:val="20"/>
                <w:szCs w:val="20"/>
              </w:rPr>
            </w:pPr>
            <w:bookmarkStart w:id="84" w:name="_Hlk35975549"/>
            <w:r>
              <w:rPr>
                <w:rFonts w:ascii="Times New Roman" w:hAnsi="宋体" w:eastAsia="宋体" w:cs="Times New Roman"/>
                <w:sz w:val="20"/>
                <w:szCs w:val="20"/>
              </w:rPr>
              <w:t>评价等级</w:t>
            </w:r>
          </w:p>
        </w:tc>
        <w:tc>
          <w:tcPr>
            <w:tcW w:w="8061" w:type="dxa"/>
            <w:gridSpan w:val="4"/>
            <w:tcBorders>
              <w:top w:val="single" w:color="000000" w:sz="12" w:space="0"/>
              <w:bottom w:val="single" w:color="000000" w:sz="12" w:space="0"/>
            </w:tcBorders>
            <w:shd w:val="clear" w:color="auto" w:fill="auto"/>
            <w:vAlign w:val="center"/>
          </w:tcPr>
          <w:p>
            <w:pPr>
              <w:spacing w:line="360" w:lineRule="auto"/>
              <w:jc w:val="center"/>
              <w:rPr>
                <w:rFonts w:ascii="Times New Roman" w:hAnsi="Times New Roman" w:eastAsia="宋体" w:cs="Times New Roman"/>
                <w:sz w:val="20"/>
                <w:szCs w:val="20"/>
              </w:rPr>
            </w:pPr>
            <w:r>
              <w:rPr>
                <w:rFonts w:ascii="Times New Roman" w:hAnsi="宋体" w:eastAsia="宋体" w:cs="Times New Roman"/>
                <w:sz w:val="20"/>
                <w:szCs w:val="20"/>
              </w:rPr>
              <w:t>满足条件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714" w:type="dxa"/>
            <w:tcBorders>
              <w:top w:val="single" w:color="000000" w:sz="12"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一级应同时满足</w:t>
            </w:r>
          </w:p>
        </w:tc>
        <w:tc>
          <w:tcPr>
            <w:tcW w:w="1056" w:type="dxa"/>
            <w:tcBorders>
              <w:top w:val="single" w:color="000000" w:sz="12"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基本要求</w:t>
            </w:r>
          </w:p>
        </w:tc>
        <w:tc>
          <w:tcPr>
            <w:tcW w:w="1610" w:type="dxa"/>
            <w:tcBorders>
              <w:top w:val="single" w:color="000000" w:sz="12"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基础指标要求</w:t>
            </w:r>
          </w:p>
        </w:tc>
        <w:tc>
          <w:tcPr>
            <w:tcW w:w="2376" w:type="dxa"/>
            <w:tcBorders>
              <w:top w:val="single" w:color="000000" w:sz="12" w:space="0"/>
            </w:tcBorders>
            <w:shd w:val="clear" w:color="auto" w:fill="auto"/>
            <w:vAlign w:val="center"/>
          </w:tcPr>
          <w:p>
            <w:pPr>
              <w:adjustRightInd w:val="0"/>
              <w:snapToGrid w:val="0"/>
              <w:jc w:val="center"/>
              <w:rPr>
                <w:rFonts w:hint="default" w:ascii="Times New Roman" w:hAnsi="Times New Roman" w:eastAsia="宋体" w:cs="Times New Roman"/>
                <w:sz w:val="20"/>
                <w:szCs w:val="20"/>
                <w:lang w:val="en-US" w:eastAsia="zh-CN"/>
              </w:rPr>
            </w:pPr>
            <w:r>
              <w:rPr>
                <w:rFonts w:ascii="Times New Roman" w:hAnsi="宋体" w:eastAsia="宋体" w:cs="Times New Roman"/>
                <w:sz w:val="20"/>
                <w:szCs w:val="20"/>
              </w:rPr>
              <w:t>核心指标</w:t>
            </w:r>
            <w:r>
              <w:rPr>
                <w:rFonts w:hint="eastAsia" w:ascii="Times New Roman" w:hAnsi="宋体" w:eastAsia="宋体" w:cs="Times New Roman"/>
                <w:sz w:val="20"/>
                <w:szCs w:val="20"/>
                <w:lang w:val="en-US" w:eastAsia="zh-CN"/>
              </w:rPr>
              <w:t>满足</w:t>
            </w:r>
            <w:r>
              <w:rPr>
                <w:rFonts w:ascii="Times New Roman" w:hAnsi="宋体" w:eastAsia="宋体" w:cs="Times New Roman"/>
                <w:sz w:val="20"/>
                <w:szCs w:val="20"/>
              </w:rPr>
              <w:t>先进水平</w:t>
            </w:r>
          </w:p>
        </w:tc>
        <w:tc>
          <w:tcPr>
            <w:tcW w:w="3019" w:type="dxa"/>
            <w:tcBorders>
              <w:top w:val="single" w:color="000000" w:sz="12" w:space="0"/>
            </w:tcBorders>
            <w:shd w:val="clear" w:color="auto" w:fill="auto"/>
            <w:vAlign w:val="center"/>
          </w:tcPr>
          <w:p>
            <w:pPr>
              <w:adjustRightInd w:val="0"/>
              <w:snapToGrid w:val="0"/>
              <w:jc w:val="center"/>
              <w:rPr>
                <w:rFonts w:hint="default" w:ascii="Times New Roman" w:hAnsi="Times New Roman" w:eastAsia="宋体" w:cs="Times New Roman"/>
                <w:snapToGrid w:val="0"/>
                <w:sz w:val="20"/>
                <w:szCs w:val="20"/>
                <w:lang w:val="en-US" w:eastAsia="zh-CN"/>
              </w:rPr>
            </w:pPr>
            <w:r>
              <w:rPr>
                <w:rFonts w:hint="eastAsia" w:ascii="Times New Roman" w:hAnsi="Times New Roman" w:eastAsia="宋体" w:cs="Times New Roman"/>
                <w:snapToGrid w:val="0"/>
                <w:sz w:val="20"/>
                <w:szCs w:val="20"/>
                <w:lang w:val="en-US" w:eastAsia="zh-CN"/>
              </w:rPr>
              <w:t>创新性指标两项要求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714" w:type="dxa"/>
            <w:tcBorders>
              <w:bottom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二级应同时满足</w:t>
            </w:r>
          </w:p>
        </w:tc>
        <w:tc>
          <w:tcPr>
            <w:tcW w:w="1056" w:type="dxa"/>
            <w:tcBorders>
              <w:bottom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基本要求</w:t>
            </w:r>
          </w:p>
        </w:tc>
        <w:tc>
          <w:tcPr>
            <w:tcW w:w="1610" w:type="dxa"/>
            <w:tcBorders>
              <w:bottom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基础指标要求</w:t>
            </w:r>
          </w:p>
        </w:tc>
        <w:tc>
          <w:tcPr>
            <w:tcW w:w="2376" w:type="dxa"/>
            <w:tcBorders>
              <w:bottom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核心指标平均水平要求</w:t>
            </w:r>
          </w:p>
        </w:tc>
        <w:tc>
          <w:tcPr>
            <w:tcW w:w="3019" w:type="dxa"/>
            <w:tcBorders>
              <w:bottom w:val="single" w:color="000000" w:sz="4" w:space="0"/>
            </w:tcBorders>
            <w:shd w:val="clear" w:color="auto" w:fill="auto"/>
            <w:vAlign w:val="center"/>
          </w:tcPr>
          <w:p>
            <w:pPr>
              <w:adjustRightInd w:val="0"/>
              <w:snapToGrid w:val="0"/>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napToGrid w:val="0"/>
                <w:sz w:val="20"/>
                <w:szCs w:val="20"/>
                <w:lang w:val="en-US" w:eastAsia="zh-CN"/>
              </w:rPr>
              <w:t>创新性指标两项要求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714" w:type="dxa"/>
            <w:tcBorders>
              <w:top w:val="single" w:color="000000" w:sz="4" w:space="0"/>
              <w:bottom w:val="single" w:color="000000" w:sz="12"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三级应同时满足</w:t>
            </w:r>
          </w:p>
        </w:tc>
        <w:tc>
          <w:tcPr>
            <w:tcW w:w="1056" w:type="dxa"/>
            <w:tcBorders>
              <w:top w:val="single" w:color="000000" w:sz="4" w:space="0"/>
              <w:bottom w:val="single" w:color="000000" w:sz="12"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基本要求</w:t>
            </w:r>
          </w:p>
        </w:tc>
        <w:tc>
          <w:tcPr>
            <w:tcW w:w="1610" w:type="dxa"/>
            <w:tcBorders>
              <w:top w:val="single" w:color="000000" w:sz="4" w:space="0"/>
              <w:bottom w:val="single" w:color="000000" w:sz="12"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基础指标要求</w:t>
            </w:r>
          </w:p>
        </w:tc>
        <w:tc>
          <w:tcPr>
            <w:tcW w:w="2376" w:type="dxa"/>
            <w:tcBorders>
              <w:top w:val="single" w:color="000000" w:sz="4" w:space="0"/>
              <w:bottom w:val="single" w:color="000000" w:sz="12"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宋体" w:eastAsia="宋体" w:cs="Times New Roman"/>
                <w:sz w:val="20"/>
                <w:szCs w:val="20"/>
              </w:rPr>
              <w:t>核心指标基准水平要求</w:t>
            </w:r>
          </w:p>
        </w:tc>
        <w:tc>
          <w:tcPr>
            <w:tcW w:w="3019" w:type="dxa"/>
            <w:tcBorders>
              <w:top w:val="single" w:color="000000" w:sz="4" w:space="0"/>
              <w:bottom w:val="single" w:color="000000" w:sz="12" w:space="0"/>
            </w:tcBorders>
            <w:shd w:val="clear" w:color="auto" w:fill="auto"/>
            <w:vAlign w:val="center"/>
          </w:tcPr>
          <w:p>
            <w:pPr>
              <w:adjustRightInd w:val="0"/>
              <w:snapToGrid w:val="0"/>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napToGrid w:val="0"/>
                <w:sz w:val="20"/>
                <w:szCs w:val="20"/>
                <w:lang w:val="en-US" w:eastAsia="zh-CN"/>
              </w:rPr>
              <w:t>创新性指标两项要求</w:t>
            </w:r>
          </w:p>
        </w:tc>
      </w:tr>
      <w:bookmarkEnd w:id="84"/>
    </w:tbl>
    <w:p>
      <w:pPr>
        <w:pStyle w:val="35"/>
        <w:spacing w:before="156" w:beforeLines="50" w:after="156" w:afterLines="50"/>
        <w:ind w:firstLineChars="0"/>
        <w:jc w:val="center"/>
        <w:rPr>
          <w:rFonts w:ascii="Times New Roman" w:hAnsi="Times New Roman" w:eastAsia="黑体" w:cs="Times New Roman"/>
        </w:rPr>
      </w:pPr>
    </w:p>
    <w:p>
      <w:pPr>
        <w:rPr>
          <w:rFonts w:ascii="Times New Roman" w:hAnsi="Times New Roman" w:cs="Times New Roman"/>
        </w:rPr>
      </w:pPr>
    </w:p>
    <w:bookmarkEnd w:id="52"/>
    <w:bookmarkEnd w:id="53"/>
    <w:bookmarkEnd w:id="54"/>
    <w:bookmarkEnd w:id="55"/>
    <w:bookmarkEnd w:id="56"/>
    <w:bookmarkEnd w:id="57"/>
    <w:bookmarkEnd w:id="63"/>
    <w:bookmarkEnd w:id="64"/>
    <w:bookmarkEnd w:id="65"/>
    <w:p>
      <w:pPr>
        <w:keepNext w:val="0"/>
        <w:keepLines w:val="0"/>
        <w:pageBreakBefore w:val="0"/>
        <w:widowControl w:val="0"/>
        <w:numPr>
          <w:ilvl w:val="0"/>
          <w:numId w:val="0"/>
        </w:numPr>
        <w:kinsoku/>
        <w:wordWrap/>
        <w:overflowPunct/>
        <w:topLinePunct w:val="0"/>
        <w:autoSpaceDE/>
        <w:autoSpaceDN/>
        <w:bidi w:val="0"/>
        <w:adjustRightInd/>
        <w:snapToGrid/>
        <w:spacing w:line="15" w:lineRule="auto"/>
        <w:ind w:leftChars="0"/>
        <w:textAlignment w:val="auto"/>
        <w:rPr>
          <w:rFonts w:ascii="Times New Roman" w:hAnsi="Times New Roman" w:cs="Times New Roman"/>
        </w:rPr>
      </w:pPr>
      <w:r>
        <w:rPr>
          <w:rFonts w:ascii="Times New Roman" w:hAnsi="Times New Roman" w:cs="Times New Roman"/>
        </w:rPr>
        <w:br w:type="page"/>
      </w:r>
    </w:p>
    <w:p>
      <w:pPr>
        <w:pStyle w:val="3"/>
        <w:spacing w:before="0" w:after="0" w:line="300" w:lineRule="auto"/>
        <w:jc w:val="center"/>
        <w:rPr>
          <w:rFonts w:eastAsia="黑体"/>
          <w:b w:val="0"/>
          <w:sz w:val="21"/>
          <w:szCs w:val="21"/>
        </w:rPr>
      </w:pPr>
    </w:p>
    <w:p>
      <w:pPr>
        <w:pStyle w:val="3"/>
        <w:spacing w:before="0" w:after="0" w:line="300" w:lineRule="auto"/>
        <w:jc w:val="center"/>
        <w:rPr>
          <w:rFonts w:hint="eastAsia" w:eastAsia="黑体"/>
          <w:b w:val="0"/>
          <w:sz w:val="21"/>
          <w:szCs w:val="21"/>
          <w:lang w:val="en-US" w:eastAsia="zh-CN"/>
        </w:rPr>
      </w:pPr>
      <w:bookmarkStart w:id="85" w:name="_Toc25379"/>
      <w:bookmarkStart w:id="86" w:name="_Toc12100"/>
      <w:r>
        <w:rPr>
          <w:rFonts w:eastAsia="黑体"/>
          <w:b w:val="0"/>
          <w:sz w:val="21"/>
          <w:szCs w:val="21"/>
        </w:rPr>
        <w:t>附录</w:t>
      </w:r>
      <w:r>
        <w:rPr>
          <w:rFonts w:hint="eastAsia" w:eastAsia="黑体"/>
          <w:b w:val="0"/>
          <w:sz w:val="21"/>
          <w:szCs w:val="21"/>
          <w:lang w:val="en-US" w:eastAsia="zh-CN"/>
        </w:rPr>
        <w:t>A</w:t>
      </w:r>
      <w:bookmarkEnd w:id="85"/>
      <w:bookmarkEnd w:id="86"/>
    </w:p>
    <w:p>
      <w:pPr>
        <w:pStyle w:val="3"/>
        <w:spacing w:before="0" w:after="0" w:line="300" w:lineRule="auto"/>
        <w:jc w:val="center"/>
        <w:rPr>
          <w:rFonts w:hint="eastAsia" w:eastAsia="黑体"/>
          <w:b w:val="0"/>
          <w:sz w:val="21"/>
          <w:szCs w:val="21"/>
        </w:rPr>
      </w:pPr>
      <w:bookmarkStart w:id="87" w:name="_Toc11140"/>
      <w:bookmarkStart w:id="88" w:name="_Toc7453"/>
      <w:r>
        <w:rPr>
          <w:rFonts w:hint="eastAsia" w:eastAsia="黑体"/>
          <w:b w:val="0"/>
          <w:sz w:val="21"/>
          <w:szCs w:val="21"/>
        </w:rPr>
        <w:t>（规范性）</w:t>
      </w:r>
      <w:bookmarkEnd w:id="87"/>
      <w:bookmarkEnd w:id="88"/>
    </w:p>
    <w:p>
      <w:pPr>
        <w:pStyle w:val="3"/>
        <w:spacing w:before="0" w:after="0" w:line="300" w:lineRule="auto"/>
        <w:jc w:val="center"/>
        <w:rPr>
          <w:rFonts w:hint="eastAsia" w:eastAsia="黑体"/>
          <w:b w:val="0"/>
          <w:sz w:val="21"/>
          <w:szCs w:val="21"/>
          <w:lang w:val="en-US" w:eastAsia="zh-CN"/>
        </w:rPr>
      </w:pPr>
      <w:bookmarkStart w:id="89" w:name="_Toc16495"/>
      <w:bookmarkStart w:id="90" w:name="_Toc32280"/>
      <w:r>
        <w:rPr>
          <w:rFonts w:hint="eastAsia" w:eastAsia="黑体"/>
          <w:b w:val="0"/>
          <w:sz w:val="21"/>
          <w:szCs w:val="21"/>
          <w:lang w:val="en-US" w:eastAsia="zh-CN"/>
        </w:rPr>
        <w:t>包芯线横截面长轴与短轴之比测试方法</w:t>
      </w:r>
      <w:bookmarkEnd w:id="89"/>
      <w:bookmarkEnd w:id="90"/>
    </w:p>
    <w:p>
      <w:pPr>
        <w:pStyle w:val="2"/>
        <w:snapToGrid w:val="0"/>
        <w:spacing w:line="300" w:lineRule="auto"/>
        <w:rPr>
          <w:rFonts w:hint="eastAsia" w:ascii="Calibri" w:hAnsi="Calibri" w:eastAsia="黑体"/>
          <w:bCs/>
          <w:kern w:val="44"/>
          <w:sz w:val="21"/>
          <w:lang w:val="en-US" w:eastAsia="zh-CN"/>
        </w:rPr>
      </w:pPr>
      <w:r>
        <w:rPr>
          <w:rFonts w:hint="eastAsia" w:ascii="Times New Roman" w:hAnsi="Times New Roman" w:eastAsia="黑体"/>
          <w:bCs/>
          <w:kern w:val="44"/>
          <w:sz w:val="21"/>
          <w:lang w:val="en-US" w:eastAsia="zh-CN"/>
        </w:rPr>
        <w:t>A.1</w:t>
      </w:r>
      <w:r>
        <w:rPr>
          <w:rFonts w:hint="eastAsia" w:ascii="Calibri" w:hAnsi="Calibri" w:eastAsia="黑体"/>
          <w:bCs/>
          <w:kern w:val="44"/>
          <w:sz w:val="21"/>
          <w:lang w:val="en-US" w:eastAsia="zh-CN"/>
        </w:rPr>
        <w:t>测量工具</w:t>
      </w:r>
    </w:p>
    <w:p>
      <w:pPr>
        <w:pStyle w:val="2"/>
        <w:snapToGrid w:val="0"/>
        <w:spacing w:line="300" w:lineRule="auto"/>
        <w:ind w:firstLine="420"/>
        <w:rPr>
          <w:rFonts w:hint="eastAsia" w:cs="宋体"/>
          <w:bCs/>
          <w:kern w:val="44"/>
          <w:sz w:val="21"/>
          <w:lang w:val="en-US" w:eastAsia="zh-CN"/>
        </w:rPr>
      </w:pPr>
      <w:r>
        <w:rPr>
          <w:rFonts w:hint="eastAsia" w:ascii="Times New Roman" w:hAnsi="Times New Roman"/>
          <w:lang w:eastAsia="zh-CN"/>
        </w:rPr>
        <w:t>精度 0.02 mm</w:t>
      </w:r>
      <w:r>
        <w:rPr>
          <w:rFonts w:hint="eastAsia" w:ascii="Times New Roman" w:hAnsi="Times New Roman"/>
          <w:lang w:val="en-US" w:eastAsia="zh-CN"/>
        </w:rPr>
        <w:t>的</w:t>
      </w:r>
      <w:r>
        <w:rPr>
          <w:rFonts w:hint="eastAsia" w:cs="宋体"/>
          <w:bCs/>
          <w:kern w:val="44"/>
          <w:sz w:val="21"/>
          <w:lang w:val="en-US" w:eastAsia="zh-CN"/>
        </w:rPr>
        <w:t>游标卡尺。</w:t>
      </w:r>
    </w:p>
    <w:p>
      <w:pPr>
        <w:pStyle w:val="2"/>
        <w:snapToGrid w:val="0"/>
        <w:spacing w:line="300" w:lineRule="auto"/>
        <w:rPr>
          <w:rFonts w:hint="eastAsia" w:ascii="Calibri" w:hAnsi="Calibri" w:eastAsia="黑体"/>
          <w:bCs/>
          <w:kern w:val="44"/>
          <w:sz w:val="21"/>
          <w:lang w:val="en-US" w:eastAsia="zh-CN"/>
        </w:rPr>
      </w:pPr>
      <w:r>
        <w:rPr>
          <w:rFonts w:hint="eastAsia" w:ascii="Times New Roman" w:hAnsi="Times New Roman" w:eastAsia="黑体"/>
          <w:bCs/>
          <w:kern w:val="44"/>
          <w:sz w:val="21"/>
          <w:lang w:val="en-US" w:eastAsia="zh-CN"/>
        </w:rPr>
        <w:t>A.2</w:t>
      </w:r>
      <w:r>
        <w:rPr>
          <w:rFonts w:hint="eastAsia" w:ascii="Calibri" w:hAnsi="Calibri" w:eastAsia="黑体"/>
          <w:bCs/>
          <w:kern w:val="44"/>
          <w:sz w:val="21"/>
          <w:lang w:val="en-US" w:eastAsia="zh-CN"/>
        </w:rPr>
        <w:t>检验步骤</w:t>
      </w:r>
    </w:p>
    <w:p>
      <w:pPr>
        <w:pStyle w:val="2"/>
        <w:snapToGrid w:val="0"/>
        <w:spacing w:before="0" w:line="300" w:lineRule="auto"/>
        <w:ind w:left="119" w:firstLine="420" w:firstLineChars="200"/>
        <w:rPr>
          <w:rFonts w:hint="eastAsia" w:cs="宋体"/>
          <w:color w:val="000000"/>
          <w:kern w:val="0"/>
          <w:sz w:val="21"/>
          <w:szCs w:val="21"/>
          <w:lang w:val="en-US" w:eastAsia="zh-CN" w:bidi="ar"/>
        </w:rPr>
      </w:pPr>
      <w:r>
        <w:rPr>
          <w:rFonts w:hint="eastAsia" w:ascii="Times New Roman" w:hAnsi="Times New Roman"/>
          <w:lang w:eastAsia="zh-CN"/>
        </w:rPr>
        <w:t>每卷包芯线开始卷线前，在每卷最首部取未卷曲的、长度 100 mm ～200 mm 的直线段上的相同部位沿轴向旋转测定</w:t>
      </w:r>
      <w:r>
        <w:rPr>
          <w:rFonts w:hint="eastAsia" w:ascii="宋体" w:hAnsi="宋体" w:eastAsia="宋体" w:cs="宋体"/>
          <w:color w:val="000000"/>
          <w:kern w:val="0"/>
          <w:sz w:val="21"/>
          <w:szCs w:val="21"/>
          <w:lang w:val="en-US" w:eastAsia="zh-CN" w:bidi="ar"/>
        </w:rPr>
        <w:t>包芯线直径</w:t>
      </w:r>
      <w:r>
        <w:rPr>
          <w:rFonts w:hint="eastAsia" w:cs="宋体"/>
          <w:color w:val="000000"/>
          <w:kern w:val="0"/>
          <w:sz w:val="21"/>
          <w:szCs w:val="21"/>
          <w:lang w:val="en-US" w:eastAsia="zh-CN" w:bidi="ar"/>
        </w:rPr>
        <w:t>。</w:t>
      </w:r>
    </w:p>
    <w:p>
      <w:pPr>
        <w:pStyle w:val="2"/>
        <w:snapToGrid w:val="0"/>
        <w:spacing w:before="0" w:line="300" w:lineRule="auto"/>
        <w:ind w:left="119" w:firstLine="420" w:firstLineChars="200"/>
        <w:rPr>
          <w:rFonts w:hint="eastAsia" w:ascii="Times New Roman" w:hAnsi="Times New Roman"/>
          <w:lang w:eastAsia="zh-CN"/>
        </w:rPr>
      </w:pPr>
      <w:r>
        <w:rPr>
          <w:rFonts w:hint="eastAsia" w:ascii="Times New Roman" w:hAnsi="Times New Roman"/>
          <w:lang w:eastAsia="zh-CN"/>
        </w:rPr>
        <w:t>测定次数应不少于 5 次，</w:t>
      </w:r>
      <w:r>
        <w:rPr>
          <w:rFonts w:hint="eastAsia" w:ascii="Times New Roman" w:hAnsi="Times New Roman"/>
          <w:lang w:val="en-US" w:eastAsia="zh-CN"/>
        </w:rPr>
        <w:t>测量</w:t>
      </w:r>
      <w:r>
        <w:rPr>
          <w:rFonts w:hint="eastAsia" w:ascii="Times New Roman" w:hAnsi="Times New Roman"/>
          <w:lang w:eastAsia="zh-CN"/>
        </w:rPr>
        <w:t>点位不少于2个。</w:t>
      </w:r>
    </w:p>
    <w:p>
      <w:pPr>
        <w:pStyle w:val="2"/>
        <w:snapToGrid w:val="0"/>
        <w:spacing w:before="0" w:line="300" w:lineRule="auto"/>
        <w:ind w:left="119" w:firstLine="420" w:firstLineChars="200"/>
        <w:rPr>
          <w:rFonts w:hint="eastAsia" w:ascii="Times New Roman" w:hAnsi="Times New Roman"/>
          <w:lang w:val="en-US" w:eastAsia="zh-CN"/>
        </w:rPr>
      </w:pPr>
      <w:r>
        <w:rPr>
          <w:rFonts w:hint="eastAsia" w:ascii="Times New Roman" w:hAnsi="Times New Roman"/>
          <w:lang w:val="en-US" w:eastAsia="zh-CN"/>
        </w:rPr>
        <w:t>具体见示意图A.1。</w:t>
      </w:r>
    </w:p>
    <w:p>
      <w:pPr>
        <w:pStyle w:val="2"/>
        <w:snapToGrid w:val="0"/>
        <w:spacing w:before="0" w:line="300" w:lineRule="auto"/>
        <w:ind w:left="119" w:firstLine="420" w:firstLineChars="200"/>
        <w:jc w:val="center"/>
        <w:rPr>
          <w:rFonts w:hint="default" w:ascii="Times New Roman" w:hAnsi="Times New Roman"/>
          <w:lang w:val="en-US" w:eastAsia="zh-CN"/>
        </w:rPr>
      </w:pPr>
      <w:r>
        <w:drawing>
          <wp:inline distT="0" distB="0" distL="114300" distR="114300">
            <wp:extent cx="2880360" cy="2651760"/>
            <wp:effectExtent l="0" t="0" r="1524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880360" cy="2651760"/>
                    </a:xfrm>
                    <a:prstGeom prst="rect">
                      <a:avLst/>
                    </a:prstGeom>
                    <a:noFill/>
                    <a:ln>
                      <a:noFill/>
                    </a:ln>
                  </pic:spPr>
                </pic:pic>
              </a:graphicData>
            </a:graphic>
          </wp:inline>
        </w:drawing>
      </w:r>
    </w:p>
    <w:p>
      <w:pPr>
        <w:pStyle w:val="7"/>
        <w:spacing w:before="157" w:beforeLines="50" w:after="157" w:afterLines="50" w:line="300" w:lineRule="auto"/>
        <w:jc w:val="center"/>
        <w:rPr>
          <w:rFonts w:hint="eastAsia" w:ascii="黑体" w:hAnsi="黑体" w:cs="黑体"/>
          <w:sz w:val="21"/>
          <w:szCs w:val="21"/>
          <w:lang w:val="en-US"/>
        </w:rPr>
      </w:pPr>
      <w:r>
        <w:rPr>
          <w:rFonts w:hint="eastAsia" w:ascii="黑体" w:hAnsi="黑体" w:cs="黑体"/>
          <w:sz w:val="21"/>
          <w:szCs w:val="21"/>
        </w:rPr>
        <w:t>图A.</w:t>
      </w:r>
      <w:r>
        <w:rPr>
          <w:rFonts w:hint="eastAsia" w:ascii="黑体" w:hAnsi="黑体" w:cs="黑体"/>
          <w:sz w:val="21"/>
          <w:szCs w:val="21"/>
        </w:rPr>
        <w:fldChar w:fldCharType="begin"/>
      </w:r>
      <w:r>
        <w:rPr>
          <w:rFonts w:hint="eastAsia" w:ascii="黑体" w:hAnsi="黑体" w:cs="黑体"/>
          <w:sz w:val="21"/>
          <w:szCs w:val="21"/>
        </w:rPr>
        <w:instrText xml:space="preserve"> SEQ 图A. \* ARABIC </w:instrText>
      </w:r>
      <w:r>
        <w:rPr>
          <w:rFonts w:hint="eastAsia" w:ascii="黑体" w:hAnsi="黑体" w:cs="黑体"/>
          <w:sz w:val="21"/>
          <w:szCs w:val="21"/>
        </w:rPr>
        <w:fldChar w:fldCharType="separate"/>
      </w:r>
      <w:r>
        <w:rPr>
          <w:rFonts w:hint="eastAsia" w:ascii="黑体" w:hAnsi="黑体" w:cs="黑体"/>
          <w:sz w:val="21"/>
          <w:szCs w:val="21"/>
        </w:rPr>
        <w:t>1</w:t>
      </w:r>
      <w:r>
        <w:rPr>
          <w:rFonts w:hint="eastAsia" w:ascii="黑体" w:hAnsi="黑体" w:cs="黑体"/>
          <w:sz w:val="21"/>
          <w:szCs w:val="21"/>
        </w:rPr>
        <w:fldChar w:fldCharType="end"/>
      </w:r>
      <w:bookmarkStart w:id="91" w:name="_Toc3891"/>
      <w:bookmarkStart w:id="92" w:name="_Toc18787"/>
      <w:r>
        <w:rPr>
          <w:rFonts w:hint="eastAsia" w:ascii="黑体" w:hAnsi="黑体" w:cs="黑体"/>
          <w:sz w:val="21"/>
          <w:szCs w:val="21"/>
          <w:lang w:val="en-US" w:eastAsia="zh-CN"/>
        </w:rPr>
        <w:t xml:space="preserve">  </w:t>
      </w:r>
      <w:r>
        <w:rPr>
          <w:rFonts w:hint="eastAsia" w:ascii="黑体" w:hAnsi="黑体" w:eastAsia="黑体" w:cs="黑体"/>
          <w:color w:val="000000"/>
          <w:kern w:val="0"/>
          <w:sz w:val="21"/>
          <w:szCs w:val="21"/>
          <w:lang w:val="en-US" w:eastAsia="zh-CN" w:bidi="ar"/>
        </w:rPr>
        <w:t>包芯线直径测量示意图</w:t>
      </w:r>
      <w:bookmarkEnd w:id="91"/>
      <w:bookmarkEnd w:id="92"/>
    </w:p>
    <w:p>
      <w:pPr>
        <w:pStyle w:val="2"/>
        <w:snapToGrid w:val="0"/>
        <w:spacing w:before="156" w:beforeLines="50" w:after="156" w:afterLines="50" w:line="300" w:lineRule="auto"/>
        <w:ind w:left="0"/>
        <w:rPr>
          <w:rFonts w:hint="eastAsia" w:ascii="Times New Roman" w:hAnsi="Times New Roman" w:eastAsia="黑体"/>
          <w:bCs/>
          <w:kern w:val="44"/>
          <w:sz w:val="21"/>
          <w:lang w:val="en-US" w:eastAsia="zh-CN"/>
        </w:rPr>
      </w:pPr>
      <w:r>
        <w:rPr>
          <w:rFonts w:hint="eastAsia" w:ascii="Times New Roman" w:hAnsi="Times New Roman" w:eastAsia="黑体"/>
          <w:bCs/>
          <w:kern w:val="44"/>
          <w:sz w:val="21"/>
          <w:lang w:val="en-US" w:eastAsia="zh-CN"/>
        </w:rPr>
        <w:t>A.3结果表示</w:t>
      </w:r>
    </w:p>
    <w:p>
      <w:pPr>
        <w:pStyle w:val="2"/>
        <w:snapToGrid w:val="0"/>
        <w:spacing w:before="0" w:line="300" w:lineRule="auto"/>
        <w:ind w:left="119" w:firstLine="420" w:firstLineChars="200"/>
        <w:rPr>
          <w:rFonts w:hint="eastAsia" w:ascii="Times New Roman" w:hAnsi="Times New Roman"/>
          <w:sz w:val="21"/>
          <w:lang w:eastAsia="zh-CN"/>
        </w:rPr>
      </w:pPr>
      <w:r>
        <w:rPr>
          <w:rFonts w:hint="eastAsia" w:ascii="Times New Roman" w:hAnsi="Times New Roman"/>
          <w:lang w:eastAsia="zh-CN"/>
        </w:rPr>
        <w:t>取其中最大值为长轴尺寸，最小值为短轴尺寸，</w:t>
      </w:r>
      <w:r>
        <w:rPr>
          <w:rFonts w:hint="eastAsia" w:ascii="Times New Roman" w:hAnsi="Times New Roman"/>
          <w:lang w:val="en-US" w:eastAsia="zh-CN"/>
        </w:rPr>
        <w:t>计算其比值</w:t>
      </w:r>
      <w:r>
        <w:rPr>
          <w:rFonts w:hint="eastAsia" w:ascii="Times New Roman" w:hAnsi="Times New Roman"/>
          <w:sz w:val="21"/>
          <w:lang w:val="en-US" w:eastAsia="zh-CN"/>
        </w:rPr>
        <w:t>。</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15" w:lineRule="auto"/>
        <w:ind w:leftChars="0"/>
        <w:textAlignment w:val="auto"/>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1904365</wp:posOffset>
                </wp:positionH>
                <wp:positionV relativeFrom="paragraph">
                  <wp:posOffset>450215</wp:posOffset>
                </wp:positionV>
                <wp:extent cx="2272665" cy="0"/>
                <wp:effectExtent l="0" t="0" r="0" b="0"/>
                <wp:wrapNone/>
                <wp:docPr id="4" name="AutoShape 18"/>
                <wp:cNvGraphicFramePr/>
                <a:graphic xmlns:a="http://schemas.openxmlformats.org/drawingml/2006/main">
                  <a:graphicData uri="http://schemas.microsoft.com/office/word/2010/wordprocessingShape">
                    <wps:wsp>
                      <wps:cNvCnPr>
                        <a:cxnSpLocks noChangeShapeType="1"/>
                      </wps:cNvCnPr>
                      <wps:spPr bwMode="auto">
                        <a:xfrm>
                          <a:off x="0" y="0"/>
                          <a:ext cx="2272665" cy="0"/>
                        </a:xfrm>
                        <a:prstGeom prst="straightConnector1">
                          <a:avLst/>
                        </a:prstGeom>
                        <a:noFill/>
                        <a:ln w="9525">
                          <a:solidFill>
                            <a:srgbClr val="000000"/>
                          </a:solidFill>
                          <a:round/>
                        </a:ln>
                        <a:effectLst/>
                      </wps:spPr>
                      <wps:bodyPr/>
                    </wps:wsp>
                  </a:graphicData>
                </a:graphic>
              </wp:anchor>
            </w:drawing>
          </mc:Choice>
          <mc:Fallback>
            <w:pict>
              <v:shape id="AutoShape 18" o:spid="_x0000_s1026" o:spt="32" type="#_x0000_t32" style="position:absolute;left:0pt;margin-left:149.95pt;margin-top:35.45pt;height:0pt;width:178.95pt;z-index:251663360;mso-width-relative:page;mso-height-relative:page;" filled="f" stroked="t" coordsize="21600,21600" o:gfxdata="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We/5NcAAAAJAQAADwAAAAAA&#10;AAABACAAAAAiAAAAZHJzL2Rvd25yZXYueG1sUEsBAhQAFAAAAAgAh07iQFxlvETbAQAAwQMAAA4A&#10;AAAAAAAAAQAgAAAAJgEAAGRycy9lMm9Eb2MueG1sUEsFBgAAAAAGAAYAWQEAAHMFAAAAAA==&#10;">
                <v:fill on="f" focussize="0,0"/>
                <v:stroke color="#000000" joinstyle="round"/>
                <v:imagedata o:title=""/>
                <o:lock v:ext="edit" aspectratio="f"/>
              </v:shape>
            </w:pict>
          </mc:Fallback>
        </mc:AlternateContent>
      </w:r>
    </w:p>
    <w:sectPr>
      <w:footerReference r:id="rId6" w:type="default"/>
      <w:pgSz w:w="11906" w:h="16838"/>
      <w:pgMar w:top="1134" w:right="1134" w:bottom="1134" w:left="1134" w:header="907" w:footer="880" w:gutter="0"/>
      <w:pgBorders>
        <w:top w:val="none" w:sz="0" w:space="0"/>
        <w:left w:val="none" w:sz="0" w:space="0"/>
        <w:bottom w:val="none" w:sz="0" w:space="0"/>
        <w:right w:val="none" w:sz="0" w:space="0"/>
      </w:pgBorders>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2" w:firstLine="0" w:firstLineChars="0"/>
      <w:jc w:val="right"/>
      <w:rPr>
        <w:rFonts w:asciiTheme="minorHAnsi"/>
      </w:rPr>
    </w:pPr>
    <w:r>
      <w:rPr>
        <w:rFonts w:hint="eastAsia" w:asciiTheme="minorHAnsi"/>
      </w:rPr>
      <w:t>T/</w:t>
    </w:r>
    <w:r>
      <w:rPr>
        <w:rFonts w:hint="eastAsia" w:asciiTheme="minorHAnsi"/>
        <w:lang w:val="en-US" w:eastAsia="zh-CN"/>
      </w:rPr>
      <w:t>CFA</w:t>
    </w:r>
    <w:r>
      <w:rPr>
        <w:rFonts w:hint="eastAsia" w:asciiTheme="minorHAnsi"/>
      </w:rPr>
      <w:t xml:space="preserve"> XXXX-XXXX</w:t>
    </w:r>
  </w:p>
  <w:p>
    <w:pPr>
      <w:jc w:val="right"/>
    </w:pPr>
    <w:r>
      <w:rPr>
        <w:rFonts w:hint="eastAsia"/>
      </w:rPr>
      <w:t xml:space="preserve">T/CSTE XXXX-XXXX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Arial" w:hAnsi="Arial" w:eastAsia="黑体" w:cs="Arial"/>
        <w:b w:val="0"/>
        <w:bCs w:val="0"/>
        <w:i w:val="0"/>
        <w:iCs w:val="0"/>
        <w:caps w:val="0"/>
        <w:smallCaps w:val="0"/>
        <w:snapToGrid w:val="0"/>
        <w:vanish w:val="0"/>
        <w:color w:val="000000"/>
        <w:spacing w:val="0"/>
        <w:w w:val="0"/>
        <w:kern w:val="0"/>
        <w:position w:val="0"/>
        <w:sz w:val="21"/>
        <w:szCs w:val="0"/>
        <w:u w:val="none"/>
        <w:vertAlign w:val="baseline"/>
      </w:rPr>
    </w:lvl>
    <w:lvl w:ilvl="2" w:tentative="0">
      <w:start w:val="1"/>
      <w:numFmt w:val="decimal"/>
      <w:pStyle w:val="8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tentative="0">
      <w:start w:val="1"/>
      <w:numFmt w:val="decimal"/>
      <w:pStyle w:val="43"/>
      <w:suff w:val="nothing"/>
      <w:lvlText w:val="%1　"/>
      <w:lvlJc w:val="left"/>
      <w:pPr>
        <w:ind w:left="3544"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jc0YzAxNWJlNGE1MmExZTRiZGU1YzNkNmMzOTkifQ=="/>
    <w:docVar w:name="KSO_WPS_MARK_KEY" w:val="c1ca349a-c341-4376-9349-151bb5d4846a"/>
  </w:docVars>
  <w:rsids>
    <w:rsidRoot w:val="008803BF"/>
    <w:rsid w:val="00014A22"/>
    <w:rsid w:val="00026B1E"/>
    <w:rsid w:val="000319C0"/>
    <w:rsid w:val="000376F1"/>
    <w:rsid w:val="000403F6"/>
    <w:rsid w:val="0005487E"/>
    <w:rsid w:val="00060FB7"/>
    <w:rsid w:val="000752DB"/>
    <w:rsid w:val="000A732E"/>
    <w:rsid w:val="000C5C4D"/>
    <w:rsid w:val="000D746D"/>
    <w:rsid w:val="00113B38"/>
    <w:rsid w:val="00120647"/>
    <w:rsid w:val="001374D0"/>
    <w:rsid w:val="001469B7"/>
    <w:rsid w:val="00185D15"/>
    <w:rsid w:val="00186E59"/>
    <w:rsid w:val="00191325"/>
    <w:rsid w:val="00197585"/>
    <w:rsid w:val="001B3B3D"/>
    <w:rsid w:val="00204A2C"/>
    <w:rsid w:val="00211E22"/>
    <w:rsid w:val="0021408D"/>
    <w:rsid w:val="0022753A"/>
    <w:rsid w:val="0025635C"/>
    <w:rsid w:val="002607E1"/>
    <w:rsid w:val="00291BD6"/>
    <w:rsid w:val="00294203"/>
    <w:rsid w:val="002966A1"/>
    <w:rsid w:val="002A40FC"/>
    <w:rsid w:val="002A43B9"/>
    <w:rsid w:val="002A6839"/>
    <w:rsid w:val="002D3423"/>
    <w:rsid w:val="002D7320"/>
    <w:rsid w:val="002E69C8"/>
    <w:rsid w:val="002F0635"/>
    <w:rsid w:val="003103F8"/>
    <w:rsid w:val="0036091F"/>
    <w:rsid w:val="003761D0"/>
    <w:rsid w:val="00383BFC"/>
    <w:rsid w:val="003A567D"/>
    <w:rsid w:val="003A59C7"/>
    <w:rsid w:val="003B4376"/>
    <w:rsid w:val="003C5AA3"/>
    <w:rsid w:val="003E5998"/>
    <w:rsid w:val="003F240C"/>
    <w:rsid w:val="003F48B8"/>
    <w:rsid w:val="00411C38"/>
    <w:rsid w:val="00430FF8"/>
    <w:rsid w:val="00432B0E"/>
    <w:rsid w:val="00440589"/>
    <w:rsid w:val="00456864"/>
    <w:rsid w:val="0045704E"/>
    <w:rsid w:val="00464DAE"/>
    <w:rsid w:val="0047024E"/>
    <w:rsid w:val="004721FF"/>
    <w:rsid w:val="00491F61"/>
    <w:rsid w:val="004C16CA"/>
    <w:rsid w:val="004C70C8"/>
    <w:rsid w:val="004D5A24"/>
    <w:rsid w:val="004F1861"/>
    <w:rsid w:val="004F46B0"/>
    <w:rsid w:val="005059AE"/>
    <w:rsid w:val="00510E7A"/>
    <w:rsid w:val="005350BB"/>
    <w:rsid w:val="00547910"/>
    <w:rsid w:val="005563F5"/>
    <w:rsid w:val="00563304"/>
    <w:rsid w:val="0058199B"/>
    <w:rsid w:val="005933FE"/>
    <w:rsid w:val="00593EEF"/>
    <w:rsid w:val="005E01B6"/>
    <w:rsid w:val="005E60D2"/>
    <w:rsid w:val="005F08D3"/>
    <w:rsid w:val="006066DA"/>
    <w:rsid w:val="00621BBB"/>
    <w:rsid w:val="00674783"/>
    <w:rsid w:val="006846E3"/>
    <w:rsid w:val="006849D6"/>
    <w:rsid w:val="00686DB6"/>
    <w:rsid w:val="00690AAE"/>
    <w:rsid w:val="00695509"/>
    <w:rsid w:val="006A35B4"/>
    <w:rsid w:val="006B62CE"/>
    <w:rsid w:val="006D2C30"/>
    <w:rsid w:val="0071604C"/>
    <w:rsid w:val="007254F7"/>
    <w:rsid w:val="00763CF6"/>
    <w:rsid w:val="00764771"/>
    <w:rsid w:val="00781F06"/>
    <w:rsid w:val="007875D7"/>
    <w:rsid w:val="00791AB5"/>
    <w:rsid w:val="007A7EC9"/>
    <w:rsid w:val="007B06D8"/>
    <w:rsid w:val="007C3ECB"/>
    <w:rsid w:val="007E0D42"/>
    <w:rsid w:val="007E26A9"/>
    <w:rsid w:val="008212A7"/>
    <w:rsid w:val="00862BC6"/>
    <w:rsid w:val="00870308"/>
    <w:rsid w:val="008803BF"/>
    <w:rsid w:val="00884A52"/>
    <w:rsid w:val="008942C5"/>
    <w:rsid w:val="008A0265"/>
    <w:rsid w:val="008B64C8"/>
    <w:rsid w:val="008D3544"/>
    <w:rsid w:val="008E0907"/>
    <w:rsid w:val="008E534E"/>
    <w:rsid w:val="008F0D60"/>
    <w:rsid w:val="00903FA3"/>
    <w:rsid w:val="009377DB"/>
    <w:rsid w:val="00972C0D"/>
    <w:rsid w:val="00984134"/>
    <w:rsid w:val="00987042"/>
    <w:rsid w:val="00990BEF"/>
    <w:rsid w:val="00991885"/>
    <w:rsid w:val="009929A7"/>
    <w:rsid w:val="009A4281"/>
    <w:rsid w:val="009A4EAA"/>
    <w:rsid w:val="009A5E0B"/>
    <w:rsid w:val="009A6625"/>
    <w:rsid w:val="009B02FC"/>
    <w:rsid w:val="009D7D7F"/>
    <w:rsid w:val="009F35DF"/>
    <w:rsid w:val="00A06FE3"/>
    <w:rsid w:val="00A137E4"/>
    <w:rsid w:val="00A54410"/>
    <w:rsid w:val="00AA1DAB"/>
    <w:rsid w:val="00AA5F21"/>
    <w:rsid w:val="00AE00FC"/>
    <w:rsid w:val="00AE5BEE"/>
    <w:rsid w:val="00B24DED"/>
    <w:rsid w:val="00B37B4C"/>
    <w:rsid w:val="00B51C1B"/>
    <w:rsid w:val="00B61BC2"/>
    <w:rsid w:val="00B73570"/>
    <w:rsid w:val="00B76273"/>
    <w:rsid w:val="00B77B6E"/>
    <w:rsid w:val="00BC2766"/>
    <w:rsid w:val="00BE3C4A"/>
    <w:rsid w:val="00BE5697"/>
    <w:rsid w:val="00C23823"/>
    <w:rsid w:val="00C2385D"/>
    <w:rsid w:val="00C25940"/>
    <w:rsid w:val="00C354D3"/>
    <w:rsid w:val="00C52366"/>
    <w:rsid w:val="00C55351"/>
    <w:rsid w:val="00C6054F"/>
    <w:rsid w:val="00C67C81"/>
    <w:rsid w:val="00C7695D"/>
    <w:rsid w:val="00C90CCE"/>
    <w:rsid w:val="00C96A34"/>
    <w:rsid w:val="00C97840"/>
    <w:rsid w:val="00CB4D68"/>
    <w:rsid w:val="00CD5FD6"/>
    <w:rsid w:val="00CE0DD4"/>
    <w:rsid w:val="00D22FD1"/>
    <w:rsid w:val="00D47330"/>
    <w:rsid w:val="00D71493"/>
    <w:rsid w:val="00D85D81"/>
    <w:rsid w:val="00D90B5C"/>
    <w:rsid w:val="00DA6A9D"/>
    <w:rsid w:val="00DD01EA"/>
    <w:rsid w:val="00DE0A5C"/>
    <w:rsid w:val="00DF11F2"/>
    <w:rsid w:val="00E20DB0"/>
    <w:rsid w:val="00E21E53"/>
    <w:rsid w:val="00E5036C"/>
    <w:rsid w:val="00E52B5B"/>
    <w:rsid w:val="00E54612"/>
    <w:rsid w:val="00E806F3"/>
    <w:rsid w:val="00ED475E"/>
    <w:rsid w:val="00EE4CDB"/>
    <w:rsid w:val="00F00A53"/>
    <w:rsid w:val="00F23151"/>
    <w:rsid w:val="00F400A2"/>
    <w:rsid w:val="00F70A05"/>
    <w:rsid w:val="00F7577F"/>
    <w:rsid w:val="00FA7336"/>
    <w:rsid w:val="00FB3E7F"/>
    <w:rsid w:val="00FB7C61"/>
    <w:rsid w:val="00FC54C3"/>
    <w:rsid w:val="00FF0AD2"/>
    <w:rsid w:val="013D1161"/>
    <w:rsid w:val="017D010B"/>
    <w:rsid w:val="01A40D00"/>
    <w:rsid w:val="01A66724"/>
    <w:rsid w:val="02693287"/>
    <w:rsid w:val="033E3BD6"/>
    <w:rsid w:val="04231082"/>
    <w:rsid w:val="04396DED"/>
    <w:rsid w:val="053D6D07"/>
    <w:rsid w:val="065546FA"/>
    <w:rsid w:val="06603FA5"/>
    <w:rsid w:val="07A1396F"/>
    <w:rsid w:val="08CB026F"/>
    <w:rsid w:val="08F333AE"/>
    <w:rsid w:val="09F52900"/>
    <w:rsid w:val="0B64718D"/>
    <w:rsid w:val="0B654CD0"/>
    <w:rsid w:val="0BC773BD"/>
    <w:rsid w:val="0D490E5D"/>
    <w:rsid w:val="0E364E7D"/>
    <w:rsid w:val="0E6A2D0C"/>
    <w:rsid w:val="0F5C0C86"/>
    <w:rsid w:val="0F7F3E70"/>
    <w:rsid w:val="1072477D"/>
    <w:rsid w:val="10791968"/>
    <w:rsid w:val="11C3029D"/>
    <w:rsid w:val="12132744"/>
    <w:rsid w:val="121D6EC3"/>
    <w:rsid w:val="123950D3"/>
    <w:rsid w:val="124A7371"/>
    <w:rsid w:val="134F2888"/>
    <w:rsid w:val="143E2655"/>
    <w:rsid w:val="14741101"/>
    <w:rsid w:val="14991245"/>
    <w:rsid w:val="1641578F"/>
    <w:rsid w:val="16D916AC"/>
    <w:rsid w:val="17DA13A7"/>
    <w:rsid w:val="180E4A95"/>
    <w:rsid w:val="185D3435"/>
    <w:rsid w:val="18DD79A1"/>
    <w:rsid w:val="1B240FCE"/>
    <w:rsid w:val="1E083C9D"/>
    <w:rsid w:val="1ED17431"/>
    <w:rsid w:val="1F2667DB"/>
    <w:rsid w:val="1F5A0233"/>
    <w:rsid w:val="1FB05E2C"/>
    <w:rsid w:val="1FBB41D0"/>
    <w:rsid w:val="205828FC"/>
    <w:rsid w:val="20BF5065"/>
    <w:rsid w:val="2118156D"/>
    <w:rsid w:val="23962050"/>
    <w:rsid w:val="24B43B27"/>
    <w:rsid w:val="25542A0A"/>
    <w:rsid w:val="26AB78AC"/>
    <w:rsid w:val="275613EA"/>
    <w:rsid w:val="277557A8"/>
    <w:rsid w:val="27DA27C2"/>
    <w:rsid w:val="28E717BF"/>
    <w:rsid w:val="2A283DEA"/>
    <w:rsid w:val="2A7F3B61"/>
    <w:rsid w:val="2AF725F5"/>
    <w:rsid w:val="2B003D2F"/>
    <w:rsid w:val="2B1B665A"/>
    <w:rsid w:val="2B604E23"/>
    <w:rsid w:val="2C6E21E4"/>
    <w:rsid w:val="322A6C7A"/>
    <w:rsid w:val="32A76BDA"/>
    <w:rsid w:val="32B33085"/>
    <w:rsid w:val="32F13CE5"/>
    <w:rsid w:val="334131D3"/>
    <w:rsid w:val="341033D4"/>
    <w:rsid w:val="344370CE"/>
    <w:rsid w:val="34597BA1"/>
    <w:rsid w:val="35643AD5"/>
    <w:rsid w:val="374313BA"/>
    <w:rsid w:val="380C5996"/>
    <w:rsid w:val="392E6A78"/>
    <w:rsid w:val="3A8C2C0D"/>
    <w:rsid w:val="3AD522D9"/>
    <w:rsid w:val="3B2C2F74"/>
    <w:rsid w:val="3BAE6A8A"/>
    <w:rsid w:val="3BF27D19"/>
    <w:rsid w:val="3C3A2BDD"/>
    <w:rsid w:val="3C876AF0"/>
    <w:rsid w:val="3D2F3B62"/>
    <w:rsid w:val="3DE872B6"/>
    <w:rsid w:val="3EC95459"/>
    <w:rsid w:val="40882F15"/>
    <w:rsid w:val="442D1921"/>
    <w:rsid w:val="44C6038E"/>
    <w:rsid w:val="4513248C"/>
    <w:rsid w:val="46200F7E"/>
    <w:rsid w:val="476A2C78"/>
    <w:rsid w:val="47992888"/>
    <w:rsid w:val="48135606"/>
    <w:rsid w:val="4854142E"/>
    <w:rsid w:val="48A16BAF"/>
    <w:rsid w:val="48A85F09"/>
    <w:rsid w:val="490A726C"/>
    <w:rsid w:val="49A92BA2"/>
    <w:rsid w:val="4A5A086E"/>
    <w:rsid w:val="4B832058"/>
    <w:rsid w:val="4BBF0072"/>
    <w:rsid w:val="4CC21042"/>
    <w:rsid w:val="4CDC29F0"/>
    <w:rsid w:val="4D212310"/>
    <w:rsid w:val="4DB17F72"/>
    <w:rsid w:val="4E862B87"/>
    <w:rsid w:val="4EA60F65"/>
    <w:rsid w:val="4EC16AC8"/>
    <w:rsid w:val="4EEB125A"/>
    <w:rsid w:val="4EF20B64"/>
    <w:rsid w:val="501648DE"/>
    <w:rsid w:val="51CF2D8E"/>
    <w:rsid w:val="51D23892"/>
    <w:rsid w:val="52A953C7"/>
    <w:rsid w:val="530E2837"/>
    <w:rsid w:val="53841AEE"/>
    <w:rsid w:val="539B6B72"/>
    <w:rsid w:val="54D74941"/>
    <w:rsid w:val="556967CA"/>
    <w:rsid w:val="55791FFA"/>
    <w:rsid w:val="55E30028"/>
    <w:rsid w:val="56EF4237"/>
    <w:rsid w:val="570F7EDB"/>
    <w:rsid w:val="572A745F"/>
    <w:rsid w:val="5888637A"/>
    <w:rsid w:val="59E771C6"/>
    <w:rsid w:val="5AB50E4B"/>
    <w:rsid w:val="5D727DDC"/>
    <w:rsid w:val="60225198"/>
    <w:rsid w:val="602773EC"/>
    <w:rsid w:val="606F48C7"/>
    <w:rsid w:val="619E7FDA"/>
    <w:rsid w:val="63637135"/>
    <w:rsid w:val="63DE6250"/>
    <w:rsid w:val="65984942"/>
    <w:rsid w:val="65B074F9"/>
    <w:rsid w:val="661D700D"/>
    <w:rsid w:val="677A0A3F"/>
    <w:rsid w:val="682664D1"/>
    <w:rsid w:val="683007F2"/>
    <w:rsid w:val="68C15D4B"/>
    <w:rsid w:val="68CE3E5E"/>
    <w:rsid w:val="69784258"/>
    <w:rsid w:val="69A67A75"/>
    <w:rsid w:val="69EF1BC6"/>
    <w:rsid w:val="6CD56AF4"/>
    <w:rsid w:val="6D8E6A33"/>
    <w:rsid w:val="6DDE0181"/>
    <w:rsid w:val="6DF21C7B"/>
    <w:rsid w:val="6F1F5219"/>
    <w:rsid w:val="704A10AA"/>
    <w:rsid w:val="70A821F8"/>
    <w:rsid w:val="729D4F87"/>
    <w:rsid w:val="73853207"/>
    <w:rsid w:val="73B434AA"/>
    <w:rsid w:val="73DB32EA"/>
    <w:rsid w:val="75042A89"/>
    <w:rsid w:val="75056276"/>
    <w:rsid w:val="76173B26"/>
    <w:rsid w:val="774A788F"/>
    <w:rsid w:val="786966E6"/>
    <w:rsid w:val="78D6184E"/>
    <w:rsid w:val="79AA5B6F"/>
    <w:rsid w:val="79EB7905"/>
    <w:rsid w:val="7A0B1FEC"/>
    <w:rsid w:val="7A20184B"/>
    <w:rsid w:val="7A86426A"/>
    <w:rsid w:val="7ADC23D6"/>
    <w:rsid w:val="7B460AAB"/>
    <w:rsid w:val="7B5A70FE"/>
    <w:rsid w:val="7C7A77AE"/>
    <w:rsid w:val="7D657A58"/>
    <w:rsid w:val="7EC23C02"/>
    <w:rsid w:val="7EF548B9"/>
    <w:rsid w:val="7FDD39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8"/>
    <w:unhideWhenUsed/>
    <w:qFormat/>
    <w:uiPriority w:val="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9"/>
    <w:qFormat/>
    <w:uiPriority w:val="1"/>
    <w:pPr>
      <w:spacing w:before="116"/>
      <w:ind w:left="117"/>
      <w:jc w:val="left"/>
    </w:pPr>
    <w:rPr>
      <w:rFonts w:ascii="宋体" w:hAnsi="宋体" w:eastAsia="宋体"/>
      <w:kern w:val="0"/>
      <w:szCs w:val="21"/>
      <w:lang w:eastAsia="en-US"/>
    </w:rPr>
  </w:style>
  <w:style w:type="paragraph" w:styleId="6">
    <w:name w:val="toc 7"/>
    <w:basedOn w:val="1"/>
    <w:next w:val="1"/>
    <w:unhideWhenUsed/>
    <w:qFormat/>
    <w:uiPriority w:val="39"/>
    <w:pPr>
      <w:ind w:left="1260"/>
      <w:jc w:val="left"/>
    </w:pPr>
    <w:rPr>
      <w:rFonts w:cstheme="minorHAnsi"/>
      <w:sz w:val="18"/>
      <w:szCs w:val="18"/>
    </w:rPr>
  </w:style>
  <w:style w:type="paragraph" w:styleId="7">
    <w:name w:val="caption"/>
    <w:basedOn w:val="1"/>
    <w:next w:val="1"/>
    <w:semiHidden/>
    <w:unhideWhenUsed/>
    <w:qFormat/>
    <w:uiPriority w:val="35"/>
    <w:rPr>
      <w:rFonts w:ascii="Arial" w:hAnsi="Arial" w:eastAsia="黑体"/>
      <w:sz w:val="20"/>
    </w:rPr>
  </w:style>
  <w:style w:type="paragraph" w:styleId="8">
    <w:name w:val="annotation text"/>
    <w:basedOn w:val="1"/>
    <w:link w:val="74"/>
    <w:unhideWhenUsed/>
    <w:qFormat/>
    <w:uiPriority w:val="0"/>
    <w:pPr>
      <w:jc w:val="left"/>
    </w:pPr>
  </w:style>
  <w:style w:type="paragraph" w:styleId="9">
    <w:name w:val="toc 5"/>
    <w:basedOn w:val="1"/>
    <w:next w:val="1"/>
    <w:unhideWhenUsed/>
    <w:qFormat/>
    <w:uiPriority w:val="39"/>
    <w:pPr>
      <w:ind w:left="840"/>
      <w:jc w:val="left"/>
    </w:pPr>
    <w:rPr>
      <w:rFonts w:cstheme="minorHAnsi"/>
      <w:sz w:val="18"/>
      <w:szCs w:val="18"/>
    </w:rPr>
  </w:style>
  <w:style w:type="paragraph" w:styleId="10">
    <w:name w:val="toc 3"/>
    <w:basedOn w:val="1"/>
    <w:next w:val="1"/>
    <w:qFormat/>
    <w:uiPriority w:val="39"/>
    <w:pPr>
      <w:ind w:left="420"/>
      <w:jc w:val="left"/>
    </w:pPr>
    <w:rPr>
      <w:rFonts w:cstheme="minorHAnsi"/>
      <w:i/>
      <w:iCs/>
      <w:sz w:val="20"/>
      <w:szCs w:val="20"/>
    </w:rPr>
  </w:style>
  <w:style w:type="paragraph" w:styleId="11">
    <w:name w:val="toc 8"/>
    <w:basedOn w:val="1"/>
    <w:next w:val="1"/>
    <w:unhideWhenUsed/>
    <w:qFormat/>
    <w:uiPriority w:val="39"/>
    <w:pPr>
      <w:ind w:left="1470"/>
      <w:jc w:val="left"/>
    </w:pPr>
    <w:rPr>
      <w:rFonts w:cstheme="minorHAnsi"/>
      <w:sz w:val="18"/>
      <w:szCs w:val="18"/>
    </w:rPr>
  </w:style>
  <w:style w:type="paragraph" w:styleId="12">
    <w:name w:val="Date"/>
    <w:basedOn w:val="1"/>
    <w:next w:val="1"/>
    <w:link w:val="71"/>
    <w:semiHidden/>
    <w:unhideWhenUsed/>
    <w:qFormat/>
    <w:uiPriority w:val="99"/>
    <w:pPr>
      <w:ind w:left="100" w:leftChars="2500"/>
    </w:pPr>
  </w:style>
  <w:style w:type="paragraph" w:styleId="13">
    <w:name w:val="Balloon Text"/>
    <w:basedOn w:val="1"/>
    <w:link w:val="66"/>
    <w:semiHidden/>
    <w:unhideWhenUsed/>
    <w:qFormat/>
    <w:uiPriority w:val="99"/>
    <w:rPr>
      <w:sz w:val="18"/>
      <w:szCs w:val="18"/>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cstheme="minorHAnsi"/>
      <w:b/>
      <w:bCs/>
      <w:caps/>
      <w:sz w:val="20"/>
      <w:szCs w:val="20"/>
    </w:rPr>
  </w:style>
  <w:style w:type="paragraph" w:styleId="17">
    <w:name w:val="toc 4"/>
    <w:basedOn w:val="1"/>
    <w:next w:val="1"/>
    <w:unhideWhenUsed/>
    <w:qFormat/>
    <w:uiPriority w:val="39"/>
    <w:pPr>
      <w:ind w:left="630"/>
      <w:jc w:val="left"/>
    </w:pPr>
    <w:rPr>
      <w:rFonts w:cstheme="minorHAnsi"/>
      <w:sz w:val="18"/>
      <w:szCs w:val="18"/>
    </w:rPr>
  </w:style>
  <w:style w:type="paragraph" w:styleId="18">
    <w:name w:val="toc 6"/>
    <w:basedOn w:val="1"/>
    <w:next w:val="1"/>
    <w:unhideWhenUsed/>
    <w:qFormat/>
    <w:uiPriority w:val="39"/>
    <w:pPr>
      <w:ind w:left="1050"/>
      <w:jc w:val="left"/>
    </w:pPr>
    <w:rPr>
      <w:rFonts w:cstheme="minorHAnsi"/>
      <w:sz w:val="18"/>
      <w:szCs w:val="18"/>
    </w:rPr>
  </w:style>
  <w:style w:type="paragraph" w:styleId="19">
    <w:name w:val="table of figures"/>
    <w:basedOn w:val="1"/>
    <w:next w:val="1"/>
    <w:semiHidden/>
    <w:unhideWhenUsed/>
    <w:qFormat/>
    <w:uiPriority w:val="99"/>
    <w:pPr>
      <w:ind w:leftChars="200" w:hanging="200" w:hangingChars="200"/>
    </w:pPr>
  </w:style>
  <w:style w:type="paragraph" w:styleId="20">
    <w:name w:val="toc 2"/>
    <w:basedOn w:val="1"/>
    <w:next w:val="1"/>
    <w:unhideWhenUsed/>
    <w:qFormat/>
    <w:uiPriority w:val="39"/>
    <w:pPr>
      <w:ind w:left="210"/>
      <w:jc w:val="left"/>
    </w:pPr>
    <w:rPr>
      <w:rFonts w:cstheme="minorHAnsi"/>
      <w:smallCaps/>
      <w:sz w:val="20"/>
      <w:szCs w:val="20"/>
    </w:rPr>
  </w:style>
  <w:style w:type="paragraph" w:styleId="21">
    <w:name w:val="toc 9"/>
    <w:basedOn w:val="1"/>
    <w:next w:val="1"/>
    <w:unhideWhenUsed/>
    <w:qFormat/>
    <w:uiPriority w:val="39"/>
    <w:pPr>
      <w:ind w:left="1680"/>
      <w:jc w:val="left"/>
    </w:pPr>
    <w:rPr>
      <w:rFonts w:cstheme="minorHAnsi"/>
      <w:sz w:val="18"/>
      <w:szCs w:val="18"/>
    </w:r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8"/>
    <w:next w:val="8"/>
    <w:link w:val="75"/>
    <w:semiHidden/>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FollowedHyperlink"/>
    <w:basedOn w:val="26"/>
    <w:semiHidden/>
    <w:unhideWhenUsed/>
    <w:qFormat/>
    <w:uiPriority w:val="99"/>
    <w:rPr>
      <w:color w:val="800080" w:themeColor="followedHyperlink"/>
      <w:u w:val="single"/>
      <w14:textFill>
        <w14:solidFill>
          <w14:schemeClr w14:val="folHlink"/>
        </w14:solidFill>
      </w14:textFill>
    </w:rPr>
  </w:style>
  <w:style w:type="character" w:styleId="28">
    <w:name w:val="Hyperlink"/>
    <w:qFormat/>
    <w:uiPriority w:val="99"/>
    <w:rPr>
      <w:color w:val="0000FF"/>
      <w:spacing w:val="0"/>
      <w:w w:val="100"/>
      <w:szCs w:val="21"/>
      <w:u w:val="single"/>
      <w:lang w:val="en-US" w:eastAsia="zh-CN"/>
    </w:rPr>
  </w:style>
  <w:style w:type="character" w:styleId="29">
    <w:name w:val="annotation reference"/>
    <w:basedOn w:val="26"/>
    <w:unhideWhenUsed/>
    <w:qFormat/>
    <w:uiPriority w:val="0"/>
    <w:rPr>
      <w:sz w:val="21"/>
      <w:szCs w:val="21"/>
    </w:rPr>
  </w:style>
  <w:style w:type="character" w:customStyle="1" w:styleId="30">
    <w:name w:val="页眉 Char"/>
    <w:basedOn w:val="26"/>
    <w:link w:val="15"/>
    <w:qFormat/>
    <w:uiPriority w:val="99"/>
    <w:rPr>
      <w:sz w:val="18"/>
      <w:szCs w:val="18"/>
    </w:rPr>
  </w:style>
  <w:style w:type="character" w:customStyle="1" w:styleId="31">
    <w:name w:val="页脚 Char"/>
    <w:basedOn w:val="26"/>
    <w:link w:val="14"/>
    <w:qFormat/>
    <w:uiPriority w:val="99"/>
    <w:rPr>
      <w:sz w:val="18"/>
      <w:szCs w:val="18"/>
    </w:rPr>
  </w:style>
  <w:style w:type="paragraph" w:customStyle="1" w:styleId="3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封面标准英文名称"/>
    <w:basedOn w:val="32"/>
    <w:qFormat/>
    <w:uiPriority w:val="0"/>
    <w:pPr>
      <w:spacing w:before="370" w:line="400" w:lineRule="exact"/>
    </w:pPr>
    <w:rPr>
      <w:rFonts w:ascii="Times New Roman"/>
      <w:sz w:val="28"/>
      <w:szCs w:val="28"/>
    </w:rPr>
  </w:style>
  <w:style w:type="character" w:customStyle="1" w:styleId="34">
    <w:name w:val="段 Char"/>
    <w:link w:val="35"/>
    <w:qFormat/>
    <w:uiPriority w:val="99"/>
    <w:rPr>
      <w:rFonts w:ascii="宋体"/>
    </w:rPr>
  </w:style>
  <w:style w:type="paragraph" w:customStyle="1" w:styleId="35">
    <w:name w:val="段"/>
    <w:link w:val="34"/>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6">
    <w:name w:val="发布"/>
    <w:qFormat/>
    <w:uiPriority w:val="0"/>
    <w:rPr>
      <w:rFonts w:ascii="黑体" w:eastAsia="黑体"/>
      <w:spacing w:val="85"/>
      <w:w w:val="100"/>
      <w:position w:val="3"/>
      <w:sz w:val="28"/>
      <w:szCs w:val="28"/>
    </w:rPr>
  </w:style>
  <w:style w:type="paragraph" w:customStyle="1" w:styleId="37">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8">
    <w:name w:val="二级条标题"/>
    <w:basedOn w:val="39"/>
    <w:next w:val="35"/>
    <w:qFormat/>
    <w:uiPriority w:val="99"/>
    <w:pPr>
      <w:numPr>
        <w:ilvl w:val="2"/>
      </w:numPr>
      <w:spacing w:beforeLines="0" w:afterLines="0"/>
      <w:outlineLvl w:val="3"/>
    </w:pPr>
  </w:style>
  <w:style w:type="paragraph" w:customStyle="1" w:styleId="39">
    <w:name w:val="一级条标题"/>
    <w:next w:val="3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附录表标号"/>
    <w:basedOn w:val="1"/>
    <w:next w:val="35"/>
    <w:qFormat/>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41">
    <w:name w:val="正文表标题"/>
    <w:next w:val="35"/>
    <w:qFormat/>
    <w:uiPriority w:val="0"/>
    <w:pPr>
      <w:tabs>
        <w:tab w:val="left" w:pos="360"/>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2">
    <w:name w:val="字母编号列项（一级）"/>
    <w:qFormat/>
    <w:uiPriority w:val="0"/>
    <w:pPr>
      <w:tabs>
        <w:tab w:val="left" w:pos="720"/>
        <w:tab w:val="left" w:pos="840"/>
      </w:tabs>
      <w:ind w:left="720" w:hanging="720"/>
      <w:jc w:val="both"/>
    </w:pPr>
    <w:rPr>
      <w:rFonts w:ascii="宋体" w:hAnsi="Times New Roman" w:eastAsia="宋体" w:cs="Times New Roman"/>
      <w:sz w:val="21"/>
      <w:lang w:val="en-US" w:eastAsia="zh-CN" w:bidi="ar-SA"/>
    </w:rPr>
  </w:style>
  <w:style w:type="paragraph" w:customStyle="1" w:styleId="43">
    <w:name w:val="章标题"/>
    <w:next w:val="35"/>
    <w:link w:val="8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前言、引言标题"/>
    <w:next w:val="3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封面一致性程度标识"/>
    <w:basedOn w:val="33"/>
    <w:qFormat/>
    <w:uiPriority w:val="0"/>
    <w:pPr>
      <w:spacing w:before="440"/>
    </w:pPr>
    <w:rPr>
      <w:rFonts w:ascii="宋体" w:eastAsia="宋体"/>
    </w:rPr>
  </w:style>
  <w:style w:type="paragraph" w:customStyle="1" w:styleId="47">
    <w:name w:val="终结线"/>
    <w:basedOn w:val="1"/>
    <w:qFormat/>
    <w:uiPriority w:val="0"/>
    <w:rPr>
      <w:rFonts w:ascii="Times New Roman" w:hAnsi="Times New Roman" w:eastAsia="宋体" w:cs="Times New Roman"/>
      <w:szCs w:val="24"/>
    </w:rPr>
  </w:style>
  <w:style w:type="paragraph" w:customStyle="1" w:styleId="4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9">
    <w:name w:val="其他发布部门"/>
    <w:basedOn w:val="1"/>
    <w:qFormat/>
    <w:uiPriority w:val="0"/>
    <w:pPr>
      <w:widowControl/>
      <w:spacing w:line="0" w:lineRule="atLeast"/>
      <w:jc w:val="center"/>
    </w:pPr>
    <w:rPr>
      <w:rFonts w:ascii="黑体" w:hAnsi="Times New Roman" w:eastAsia="黑体" w:cs="Times New Roman"/>
      <w:spacing w:val="20"/>
      <w:w w:val="135"/>
      <w:kern w:val="0"/>
      <w:sz w:val="28"/>
      <w:szCs w:val="20"/>
    </w:rPr>
  </w:style>
  <w:style w:type="paragraph" w:customStyle="1" w:styleId="50">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其他发布日期"/>
    <w:basedOn w:val="1"/>
    <w:qFormat/>
    <w:uiPriority w:val="0"/>
    <w:pPr>
      <w:widowControl/>
      <w:jc w:val="left"/>
    </w:pPr>
    <w:rPr>
      <w:rFonts w:ascii="Times New Roman" w:hAnsi="Times New Roman" w:eastAsia="黑体" w:cs="Times New Roman"/>
      <w:kern w:val="0"/>
      <w:sz w:val="28"/>
      <w:szCs w:val="20"/>
    </w:rPr>
  </w:style>
  <w:style w:type="paragraph" w:customStyle="1" w:styleId="52">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53">
    <w:name w:val="封面标准文稿编辑信息"/>
    <w:basedOn w:val="54"/>
    <w:qFormat/>
    <w:uiPriority w:val="0"/>
    <w:pPr>
      <w:spacing w:before="180" w:line="180" w:lineRule="exact"/>
    </w:pPr>
    <w:rPr>
      <w:sz w:val="21"/>
    </w:rPr>
  </w:style>
  <w:style w:type="paragraph" w:customStyle="1" w:styleId="54">
    <w:name w:val="封面标准文稿类别"/>
    <w:basedOn w:val="46"/>
    <w:qFormat/>
    <w:uiPriority w:val="0"/>
    <w:pPr>
      <w:spacing w:after="160" w:line="240" w:lineRule="auto"/>
    </w:pPr>
    <w:rPr>
      <w:sz w:val="24"/>
    </w:rPr>
  </w:style>
  <w:style w:type="paragraph" w:customStyle="1" w:styleId="55">
    <w:name w:val="附录标识"/>
    <w:basedOn w:val="1"/>
    <w:next w:val="35"/>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56">
    <w:name w:val="列项——（一级）"/>
    <w:qFormat/>
    <w:uiPriority w:val="0"/>
    <w:pPr>
      <w:widowControl w:val="0"/>
      <w:ind w:left="623" w:hanging="425"/>
      <w:jc w:val="both"/>
    </w:pPr>
    <w:rPr>
      <w:rFonts w:ascii="宋体" w:hAnsi="Times New Roman" w:eastAsia="宋体" w:cs="Times New Roman"/>
      <w:sz w:val="21"/>
      <w:lang w:val="en-US" w:eastAsia="zh-CN" w:bidi="ar-SA"/>
    </w:rPr>
  </w:style>
  <w:style w:type="paragraph" w:customStyle="1" w:styleId="57">
    <w:name w:val="附录图标号"/>
    <w:basedOn w:val="1"/>
    <w:qFormat/>
    <w:uiPriority w:val="0"/>
    <w:pPr>
      <w:keepNext/>
      <w:pageBreakBefore/>
      <w:widowControl/>
      <w:tabs>
        <w:tab w:val="left" w:pos="720"/>
      </w:tabs>
      <w:spacing w:line="14" w:lineRule="exact"/>
      <w:ind w:left="720" w:firstLine="363"/>
      <w:jc w:val="center"/>
      <w:outlineLvl w:val="0"/>
    </w:pPr>
    <w:rPr>
      <w:rFonts w:ascii="Times New Roman" w:hAnsi="Times New Roman" w:eastAsia="宋体" w:cs="Times New Roman"/>
      <w:color w:val="FFFFFF"/>
      <w:szCs w:val="24"/>
    </w:rPr>
  </w:style>
  <w:style w:type="paragraph" w:customStyle="1" w:styleId="58">
    <w:name w:val="其他标准标志"/>
    <w:basedOn w:val="1"/>
    <w:qFormat/>
    <w:uiPriority w:val="0"/>
    <w:pPr>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59">
    <w:name w:val="其他实施日期"/>
    <w:basedOn w:val="1"/>
    <w:qFormat/>
    <w:uiPriority w:val="0"/>
    <w:pPr>
      <w:widowControl/>
      <w:jc w:val="right"/>
    </w:pPr>
    <w:rPr>
      <w:rFonts w:ascii="Times New Roman" w:hAnsi="Times New Roman" w:eastAsia="黑体" w:cs="Times New Roman"/>
      <w:kern w:val="0"/>
      <w:sz w:val="28"/>
      <w:szCs w:val="20"/>
    </w:rPr>
  </w:style>
  <w:style w:type="paragraph" w:customStyle="1" w:styleId="60">
    <w:name w:val="目次、标准名称标题"/>
    <w:basedOn w:val="1"/>
    <w:next w:val="35"/>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61">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6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63">
    <w:name w:val="标题 1 Char"/>
    <w:basedOn w:val="26"/>
    <w:link w:val="3"/>
    <w:qFormat/>
    <w:uiPriority w:val="9"/>
    <w:rPr>
      <w:b/>
      <w:bCs/>
      <w:kern w:val="44"/>
      <w:sz w:val="44"/>
      <w:szCs w:val="44"/>
    </w:rPr>
  </w:style>
  <w:style w:type="character" w:customStyle="1" w:styleId="64">
    <w:name w:val="标题 2 Char"/>
    <w:basedOn w:val="26"/>
    <w:link w:val="4"/>
    <w:qFormat/>
    <w:uiPriority w:val="9"/>
    <w:rPr>
      <w:rFonts w:asciiTheme="majorHAnsi" w:hAnsiTheme="majorHAnsi" w:eastAsiaTheme="majorEastAsia" w:cstheme="majorBidi"/>
      <w:b/>
      <w:bCs/>
      <w:sz w:val="32"/>
      <w:szCs w:val="32"/>
    </w:rPr>
  </w:style>
  <w:style w:type="paragraph" w:customStyle="1" w:styleId="6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66">
    <w:name w:val="批注框文本 Char"/>
    <w:basedOn w:val="26"/>
    <w:link w:val="13"/>
    <w:semiHidden/>
    <w:qFormat/>
    <w:uiPriority w:val="99"/>
    <w:rPr>
      <w:sz w:val="18"/>
      <w:szCs w:val="18"/>
    </w:rPr>
  </w:style>
  <w:style w:type="paragraph" w:styleId="67">
    <w:name w:val="List Paragraph"/>
    <w:basedOn w:val="1"/>
    <w:qFormat/>
    <w:uiPriority w:val="99"/>
    <w:pPr>
      <w:ind w:firstLine="420" w:firstLineChars="200"/>
    </w:pPr>
  </w:style>
  <w:style w:type="character" w:customStyle="1" w:styleId="68">
    <w:name w:val="标题 3 Char"/>
    <w:basedOn w:val="26"/>
    <w:link w:val="5"/>
    <w:qFormat/>
    <w:uiPriority w:val="9"/>
    <w:rPr>
      <w:b/>
      <w:bCs/>
      <w:sz w:val="32"/>
      <w:szCs w:val="32"/>
    </w:rPr>
  </w:style>
  <w:style w:type="character" w:customStyle="1" w:styleId="69">
    <w:name w:val="正文文本 Char"/>
    <w:basedOn w:val="26"/>
    <w:link w:val="2"/>
    <w:qFormat/>
    <w:uiPriority w:val="1"/>
    <w:rPr>
      <w:rFonts w:ascii="宋体" w:hAnsi="宋体" w:eastAsia="宋体"/>
      <w:kern w:val="0"/>
      <w:szCs w:val="21"/>
      <w:lang w:eastAsia="en-US"/>
    </w:rPr>
  </w:style>
  <w:style w:type="paragraph" w:customStyle="1" w:styleId="70">
    <w:name w:val="标准书眉_偶数页"/>
    <w:basedOn w:val="45"/>
    <w:next w:val="1"/>
    <w:qFormat/>
    <w:uiPriority w:val="0"/>
    <w:pPr>
      <w:jc w:val="left"/>
    </w:pPr>
  </w:style>
  <w:style w:type="character" w:customStyle="1" w:styleId="71">
    <w:name w:val="日期 Char"/>
    <w:basedOn w:val="26"/>
    <w:link w:val="12"/>
    <w:semiHidden/>
    <w:qFormat/>
    <w:uiPriority w:val="99"/>
  </w:style>
  <w:style w:type="paragraph" w:customStyle="1" w:styleId="7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74">
    <w:name w:val="批注文字 Char"/>
    <w:basedOn w:val="26"/>
    <w:link w:val="8"/>
    <w:qFormat/>
    <w:uiPriority w:val="0"/>
  </w:style>
  <w:style w:type="character" w:customStyle="1" w:styleId="75">
    <w:name w:val="批注主题 Char"/>
    <w:basedOn w:val="74"/>
    <w:link w:val="23"/>
    <w:semiHidden/>
    <w:qFormat/>
    <w:uiPriority w:val="99"/>
    <w:rPr>
      <w:b/>
      <w:bCs/>
    </w:rPr>
  </w:style>
  <w:style w:type="paragraph" w:customStyle="1" w:styleId="76">
    <w:name w:val="条2"/>
    <w:basedOn w:val="1"/>
    <w:next w:val="35"/>
    <w:qFormat/>
    <w:uiPriority w:val="0"/>
    <w:pPr>
      <w:spacing w:beforeLines="50" w:afterLines="50"/>
      <w:outlineLvl w:val="1"/>
    </w:pPr>
    <w:rPr>
      <w:rFonts w:ascii="黑体" w:hAnsi="Times New Roman" w:eastAsia="黑体" w:cs="Times New Roman"/>
      <w:kern w:val="21"/>
      <w:szCs w:val="20"/>
    </w:rPr>
  </w:style>
  <w:style w:type="paragraph" w:customStyle="1" w:styleId="7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8">
    <w:name w:val="fontstyle01"/>
    <w:basedOn w:val="26"/>
    <w:qFormat/>
    <w:uiPriority w:val="0"/>
    <w:rPr>
      <w:rFonts w:hint="eastAsia" w:ascii="宋体" w:hAnsi="宋体" w:eastAsia="宋体"/>
      <w:color w:val="000000"/>
      <w:sz w:val="42"/>
      <w:szCs w:val="42"/>
    </w:rPr>
  </w:style>
  <w:style w:type="paragraph" w:customStyle="1" w:styleId="79">
    <w:name w:val="三级条标题"/>
    <w:basedOn w:val="38"/>
    <w:next w:val="1"/>
    <w:qFormat/>
    <w:uiPriority w:val="0"/>
    <w:pPr>
      <w:numPr>
        <w:ilvl w:val="0"/>
        <w:numId w:val="0"/>
      </w:numPr>
      <w:spacing w:beforeLines="50" w:afterLines="50"/>
      <w:outlineLvl w:val="4"/>
    </w:pPr>
  </w:style>
  <w:style w:type="paragraph" w:customStyle="1" w:styleId="80">
    <w:name w:val="四级条标题"/>
    <w:basedOn w:val="79"/>
    <w:next w:val="1"/>
    <w:qFormat/>
    <w:uiPriority w:val="0"/>
    <w:pPr>
      <w:outlineLvl w:val="5"/>
    </w:pPr>
  </w:style>
  <w:style w:type="paragraph" w:customStyle="1" w:styleId="81">
    <w:name w:val="五级条标题"/>
    <w:basedOn w:val="80"/>
    <w:next w:val="1"/>
    <w:qFormat/>
    <w:uiPriority w:val="0"/>
    <w:pPr>
      <w:outlineLvl w:val="6"/>
    </w:pPr>
  </w:style>
  <w:style w:type="paragraph" w:customStyle="1" w:styleId="82">
    <w:name w:val="Table Paragraph"/>
    <w:basedOn w:val="1"/>
    <w:qFormat/>
    <w:uiPriority w:val="1"/>
    <w:pPr>
      <w:spacing w:line="300" w:lineRule="auto"/>
      <w:jc w:val="left"/>
    </w:pPr>
    <w:rPr>
      <w:kern w:val="0"/>
      <w:sz w:val="22"/>
      <w:lang w:eastAsia="en-US"/>
    </w:rPr>
  </w:style>
  <w:style w:type="character" w:customStyle="1" w:styleId="83">
    <w:name w:val="章标题 Char"/>
    <w:link w:val="43"/>
    <w:qFormat/>
    <w:uiPriority w:val="0"/>
    <w:rPr>
      <w:rFonts w:ascii="黑体" w:hAnsi="Times New Roman" w:eastAsia="黑体" w:cs="Times New Roman"/>
      <w:kern w:val="0"/>
      <w:szCs w:val="20"/>
    </w:rPr>
  </w:style>
  <w:style w:type="paragraph" w:customStyle="1" w:styleId="84">
    <w:name w:val="二级无"/>
    <w:basedOn w:val="1"/>
    <w:qFormat/>
    <w:uiPriority w:val="0"/>
    <w:pPr>
      <w:widowControl/>
      <w:numPr>
        <w:ilvl w:val="2"/>
        <w:numId w:val="2"/>
      </w:numPr>
      <w:jc w:val="left"/>
      <w:outlineLvl w:val="3"/>
    </w:pPr>
    <w:rPr>
      <w:rFonts w:ascii="宋体" w:hAnsi="Times New Roman" w:eastAsia="宋体" w:cs="Times New Roman"/>
      <w:kern w:val="0"/>
      <w:szCs w:val="21"/>
    </w:rPr>
  </w:style>
  <w:style w:type="paragraph" w:customStyle="1" w:styleId="85">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table" w:customStyle="1" w:styleId="86">
    <w:name w:val="Table Normal"/>
    <w:semiHidden/>
    <w:unhideWhenUsed/>
    <w:qFormat/>
    <w:uiPriority w:val="0"/>
    <w:tblPr>
      <w:tblCellMar>
        <w:top w:w="0" w:type="dxa"/>
        <w:left w:w="0" w:type="dxa"/>
        <w:bottom w:w="0" w:type="dxa"/>
        <w:right w:w="0" w:type="dxa"/>
      </w:tblCellMar>
    </w:tblPr>
  </w:style>
  <w:style w:type="character" w:customStyle="1" w:styleId="87">
    <w:name w:val="font21"/>
    <w:basedOn w:val="26"/>
    <w:qFormat/>
    <w:uiPriority w:val="0"/>
    <w:rPr>
      <w:rFonts w:hint="eastAsia" w:ascii="宋体" w:hAnsi="宋体" w:eastAsia="宋体" w:cs="宋体"/>
      <w:color w:val="000000"/>
      <w:sz w:val="18"/>
      <w:szCs w:val="18"/>
      <w:u w:val="none"/>
    </w:rPr>
  </w:style>
  <w:style w:type="character" w:customStyle="1" w:styleId="88">
    <w:name w:val="font31"/>
    <w:basedOn w:val="26"/>
    <w:qFormat/>
    <w:uiPriority w:val="0"/>
    <w:rPr>
      <w:rFonts w:hint="eastAsia" w:ascii="宋体" w:hAnsi="宋体" w:eastAsia="宋体" w:cs="宋体"/>
      <w:color w:val="000000"/>
      <w:sz w:val="18"/>
      <w:szCs w:val="18"/>
      <w:u w:val="none"/>
    </w:rPr>
  </w:style>
  <w:style w:type="character" w:customStyle="1" w:styleId="89">
    <w:name w:val="font41"/>
    <w:basedOn w:val="26"/>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D1A1E-D522-4033-BCAA-D433AFF3652C}">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2437</Words>
  <Characters>3301</Characters>
  <Lines>22</Lines>
  <Paragraphs>6</Paragraphs>
  <TotalTime>4</TotalTime>
  <ScaleCrop>false</ScaleCrop>
  <LinksUpToDate>false</LinksUpToDate>
  <CharactersWithSpaces>3527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2021-12-02T06:04:00Z</dcterms:created>
  <dc:creator>Lenovo</dc:creator>
  <cp:lastModifiedBy>王凤</cp:lastModifiedBy>
  <cp:lastPrinted>2019-02-12T09:03:00Z</cp:lastPrinted>
  <dcterms:modified xsi:type="dcterms:W3CDTF">2023-06-07T01:55:04Z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D01BC4B4D8F24BBEA26CDFD59A3C6FAD_13</vt:lpwstr>
  </property>
  <property fmtid="{D5CDD505-2E9C-101B-9397-08002B2CF9AE}" pid="4" name="commondata">
    <vt:lpwstr>eyJoZGlkIjoiZDFiNzQ2NmU0ZWE4MTY5MjNkZTBmZWMyNGY2ZWFiMTcifQ==</vt:lpwstr>
  </property>
</Properties>
</file>