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left"/>
        <w:rPr>
          <w:rFonts w:ascii="黑体" w:hAnsi="黑体" w:eastAsia="黑体"/>
          <w:b/>
          <w:sz w:val="32"/>
          <w:szCs w:val="32"/>
        </w:rPr>
      </w:pPr>
    </w:p>
    <w:p>
      <w:pPr>
        <w:spacing w:after="312" w:afterLines="100" w:line="560" w:lineRule="exact"/>
        <w:jc w:val="center"/>
        <w:rPr>
          <w:rFonts w:ascii="方正小标宋简体" w:hAnsi="仿宋" w:eastAsia="方正小标宋简体"/>
          <w:bCs/>
          <w:sz w:val="32"/>
          <w:szCs w:val="32"/>
        </w:rPr>
      </w:pPr>
      <w:r>
        <w:rPr>
          <w:rFonts w:hint="eastAsia" w:ascii="方正小标宋简体" w:hAnsi="仿宋" w:eastAsia="方正小标宋简体"/>
          <w:bCs/>
          <w:sz w:val="32"/>
          <w:szCs w:val="32"/>
        </w:rPr>
        <w:t>铸造企业智能制造能力成熟度对标评价管理办法</w:t>
      </w:r>
    </w:p>
    <w:p>
      <w:pPr>
        <w:pStyle w:val="2"/>
        <w:jc w:val="left"/>
        <w:rPr>
          <w:rFonts w:ascii="仿宋" w:hAnsi="仿宋" w:eastAsia="仿宋" w:cs="仿宋"/>
          <w:sz w:val="32"/>
        </w:rPr>
      </w:pPr>
      <w:r>
        <w:rPr>
          <w:rFonts w:hint="eastAsia" w:ascii="仿宋" w:hAnsi="仿宋" w:eastAsia="仿宋" w:cs="仿宋"/>
          <w:sz w:val="32"/>
        </w:rPr>
        <w:t>第一章  总则</w:t>
      </w:r>
    </w:p>
    <w:p>
      <w:pPr>
        <w:spacing w:line="360" w:lineRule="auto"/>
        <w:ind w:firstLine="639" w:firstLineChars="199"/>
        <w:rPr>
          <w:rFonts w:ascii="仿宋" w:hAnsi="仿宋" w:eastAsia="仿宋" w:cs="仿宋"/>
          <w:sz w:val="32"/>
          <w:szCs w:val="32"/>
        </w:rPr>
      </w:pPr>
      <w:r>
        <w:rPr>
          <w:rStyle w:val="20"/>
          <w:rFonts w:hint="eastAsia" w:ascii="仿宋" w:hAnsi="仿宋" w:eastAsia="仿宋" w:cs="仿宋"/>
          <w:sz w:val="32"/>
        </w:rPr>
        <w:t xml:space="preserve">第一条  </w:t>
      </w:r>
      <w:r>
        <w:rPr>
          <w:rFonts w:hint="eastAsia" w:ascii="仿宋" w:hAnsi="仿宋" w:eastAsia="仿宋" w:cs="仿宋"/>
          <w:sz w:val="32"/>
          <w:szCs w:val="32"/>
        </w:rPr>
        <w:t>为贯彻实施制造强国战略，进一步打造智能铸造先进典型，使智能铸造理念深入铸造企业，促进我国铸造行业向高端、智能方向发展，提升企业在国际国内市场上的综合竞争力，特制定本办法。</w:t>
      </w:r>
    </w:p>
    <w:p>
      <w:pPr>
        <w:spacing w:line="360" w:lineRule="auto"/>
        <w:ind w:firstLine="630" w:firstLineChars="196"/>
        <w:rPr>
          <w:rFonts w:ascii="仿宋" w:hAnsi="仿宋" w:eastAsia="仿宋" w:cs="仿宋"/>
          <w:sz w:val="32"/>
          <w:szCs w:val="32"/>
        </w:rPr>
      </w:pPr>
      <w:r>
        <w:rPr>
          <w:rStyle w:val="20"/>
          <w:rFonts w:hint="eastAsia" w:ascii="仿宋" w:hAnsi="仿宋" w:eastAsia="仿宋" w:cs="仿宋"/>
          <w:sz w:val="32"/>
        </w:rPr>
        <w:t xml:space="preserve">第二条  </w:t>
      </w:r>
      <w:r>
        <w:rPr>
          <w:rFonts w:hint="eastAsia" w:ascii="仿宋" w:hAnsi="仿宋" w:eastAsia="仿宋" w:cs="仿宋"/>
          <w:sz w:val="32"/>
          <w:szCs w:val="32"/>
        </w:rPr>
        <w:t>评定标准参照《铸造企业智能制造能力成熟度评估方法》（T/CFA 0311011-- 2021）进行。</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第三条  </w:t>
      </w:r>
      <w:r>
        <w:rPr>
          <w:rFonts w:hint="eastAsia" w:ascii="仿宋" w:hAnsi="仿宋" w:eastAsia="仿宋" w:cs="仿宋"/>
          <w:sz w:val="32"/>
          <w:szCs w:val="32"/>
        </w:rPr>
        <w:t>铸造企业智能制造能力成熟度对标评价工作由中国铸造协会组织实施，设评价专家评审委员会和评价工作办公室。</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第四条  </w:t>
      </w:r>
      <w:r>
        <w:rPr>
          <w:rFonts w:hint="eastAsia" w:ascii="仿宋" w:hAnsi="仿宋" w:eastAsia="仿宋" w:cs="仿宋"/>
          <w:sz w:val="32"/>
          <w:szCs w:val="32"/>
        </w:rPr>
        <w:t>遵循企业自愿参与的原则，严格遵循公开、公平、公正的工作作风，按照“统一标准、统一方法、分类考核、择优选择”的评价原则，多层次、多维度、多方向对企业进行综合评价，真实反映企业的实际状况。</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第五条  </w:t>
      </w:r>
      <w:r>
        <w:rPr>
          <w:rFonts w:hint="eastAsia" w:ascii="仿宋" w:hAnsi="仿宋" w:eastAsia="仿宋" w:cs="仿宋"/>
          <w:sz w:val="32"/>
          <w:szCs w:val="32"/>
        </w:rPr>
        <w:t>评价活动是公益性活动，无任何商业行为，不向企业收取费用（评价过程中会组织专家论证及现场考察，考察期间专家差旅、住宿由企业负责安排）。</w:t>
      </w:r>
    </w:p>
    <w:p>
      <w:pPr>
        <w:pStyle w:val="2"/>
        <w:jc w:val="left"/>
        <w:rPr>
          <w:rFonts w:ascii="仿宋" w:hAnsi="仿宋" w:eastAsia="仿宋" w:cs="仿宋"/>
          <w:sz w:val="32"/>
        </w:rPr>
      </w:pPr>
      <w:r>
        <w:rPr>
          <w:rFonts w:hint="eastAsia" w:ascii="仿宋" w:hAnsi="仿宋" w:eastAsia="仿宋" w:cs="仿宋"/>
          <w:sz w:val="32"/>
        </w:rPr>
        <w:t>第二章  申报条件</w:t>
      </w:r>
    </w:p>
    <w:p>
      <w:pPr>
        <w:spacing w:line="360" w:lineRule="auto"/>
        <w:ind w:firstLine="630" w:firstLineChars="196"/>
        <w:rPr>
          <w:rFonts w:ascii="仿宋" w:hAnsi="仿宋" w:eastAsia="仿宋" w:cs="仿宋"/>
          <w:sz w:val="32"/>
          <w:szCs w:val="32"/>
        </w:rPr>
      </w:pPr>
      <w:r>
        <w:rPr>
          <w:rStyle w:val="20"/>
          <w:rFonts w:hint="eastAsia" w:ascii="仿宋" w:hAnsi="仿宋" w:eastAsia="仿宋" w:cs="仿宋"/>
          <w:sz w:val="32"/>
        </w:rPr>
        <w:t xml:space="preserve">第六条  </w:t>
      </w:r>
      <w:r>
        <w:rPr>
          <w:rFonts w:hint="eastAsia" w:ascii="仿宋" w:hAnsi="仿宋" w:eastAsia="仿宋" w:cs="仿宋"/>
          <w:sz w:val="32"/>
          <w:szCs w:val="32"/>
        </w:rPr>
        <w:t>凡在中华人民共和国境内工商管理部门正式注册的铸造类企业均可申报参加评价。</w:t>
      </w:r>
    </w:p>
    <w:p>
      <w:pPr>
        <w:spacing w:line="360" w:lineRule="auto"/>
        <w:ind w:firstLine="643" w:firstLineChars="200"/>
        <w:jc w:val="left"/>
        <w:rPr>
          <w:rFonts w:ascii="仿宋" w:hAnsi="仿宋" w:eastAsia="仿宋" w:cs="仿宋"/>
          <w:sz w:val="32"/>
          <w:szCs w:val="32"/>
        </w:rPr>
      </w:pPr>
      <w:r>
        <w:rPr>
          <w:rStyle w:val="20"/>
          <w:rFonts w:hint="eastAsia" w:ascii="仿宋" w:hAnsi="仿宋" w:eastAsia="仿宋" w:cs="仿宋"/>
          <w:sz w:val="32"/>
        </w:rPr>
        <w:t xml:space="preserve">第七条  </w:t>
      </w:r>
      <w:r>
        <w:rPr>
          <w:rFonts w:hint="eastAsia" w:ascii="仿宋" w:hAnsi="仿宋" w:eastAsia="仿宋" w:cs="仿宋"/>
          <w:sz w:val="32"/>
          <w:szCs w:val="32"/>
        </w:rPr>
        <w:t>申报企业必须具备下列条件：</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1.参评的铸件企业应符合《铸造企业规范条件》（T/CFA 0310021 -- 2019）的要求。</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2.参评企业应为铸造行业重点骨干企业或具有突出优势的“专、特、精、新”企业。</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3.参评企业应通过ISO 9001质量管理体系认证、ISO 14001环境管理体系认证、ISO 45001</w:t>
      </w:r>
      <w:bookmarkStart w:id="2" w:name="_GoBack"/>
      <w:bookmarkEnd w:id="2"/>
      <w:r>
        <w:rPr>
          <w:rFonts w:hint="eastAsia" w:ascii="仿宋" w:hAnsi="仿宋" w:eastAsia="仿宋" w:cs="仿宋"/>
          <w:sz w:val="32"/>
          <w:szCs w:val="32"/>
        </w:rPr>
        <w:t>职业健康安全管理体系认证（如有其他特殊专业认证，可优先考虑）。</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第八条  </w:t>
      </w:r>
      <w:r>
        <w:rPr>
          <w:rFonts w:hint="eastAsia" w:ascii="仿宋" w:hAnsi="仿宋" w:eastAsia="仿宋" w:cs="仿宋"/>
          <w:sz w:val="32"/>
          <w:szCs w:val="32"/>
        </w:rPr>
        <w:t>凡有下列情况之一的企业，将不得申报：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1.生产和经销假冒伪劣商品；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2.偷税、骗税、抗税和逃避追缴欠税；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3.有仲裁机构裁定合同违约记录；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4.近四年内发生过重大安全生产事故和重大环境污染事故；</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5.仍然使用国家法规、技术政策明令淘汰及限制的技术、材料、装备。</w:t>
      </w:r>
    </w:p>
    <w:p>
      <w:pPr>
        <w:pStyle w:val="2"/>
        <w:jc w:val="left"/>
        <w:rPr>
          <w:rFonts w:ascii="仿宋" w:hAnsi="仿宋" w:eastAsia="仿宋" w:cs="仿宋"/>
          <w:sz w:val="32"/>
        </w:rPr>
      </w:pPr>
      <w:r>
        <w:rPr>
          <w:rFonts w:hint="eastAsia" w:ascii="仿宋" w:hAnsi="仿宋" w:eastAsia="仿宋" w:cs="仿宋"/>
          <w:sz w:val="32"/>
        </w:rPr>
        <w:t>第三章  评价活动程序</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第九条  </w:t>
      </w:r>
      <w:r>
        <w:rPr>
          <w:rFonts w:hint="eastAsia" w:ascii="仿宋" w:hAnsi="仿宋" w:eastAsia="仿宋" w:cs="仿宋"/>
          <w:sz w:val="32"/>
          <w:szCs w:val="32"/>
        </w:rPr>
        <w:t>申报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1.申报办法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采用推荐与自荐相结合的方式进行。</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（1）推荐：相关行业组织、产业集群等单位推荐。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（2）自荐：优秀铸造企业可直接向中国铸造协会评价工作组报名。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2.申报材料要求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（1）纸质材料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纸质材料1份，需胶装成册，内容包括：</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附件2：铸造企业智能制造能力成熟度评估申报书；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附件3：《参评企业需提交的材料明细表》中要求提供的证明材料等，按明细表中所列项目排序。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（2）申报材料的电子数据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参评企业根据统一要求（附件2、3）准备相关资料，申报材料盖章扫描后电子版发至联系人邮箱，电子版需含生产现场视频（3-5分钟企业简介视频，主要包含《铸造企业智能制造成熟度评估方法》中人员、技术、资源和制造等能力要素及其子域的证明材料）。电子版与纸质版材料一并提交至联系人。</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第十条  </w:t>
      </w:r>
      <w:r>
        <w:rPr>
          <w:rFonts w:hint="eastAsia" w:ascii="仿宋" w:hAnsi="仿宋" w:eastAsia="仿宋" w:cs="仿宋"/>
          <w:sz w:val="32"/>
          <w:szCs w:val="32"/>
        </w:rPr>
        <w:t>初审</w:t>
      </w:r>
    </w:p>
    <w:p>
      <w:pPr>
        <w:spacing w:line="360" w:lineRule="auto"/>
        <w:ind w:firstLine="800" w:firstLineChars="250"/>
        <w:rPr>
          <w:rFonts w:ascii="仿宋" w:hAnsi="仿宋" w:eastAsia="仿宋" w:cs="仿宋"/>
          <w:sz w:val="32"/>
          <w:szCs w:val="32"/>
        </w:rPr>
      </w:pPr>
      <w:r>
        <w:rPr>
          <w:rFonts w:hint="eastAsia" w:ascii="仿宋" w:hAnsi="仿宋" w:eastAsia="仿宋" w:cs="仿宋"/>
          <w:sz w:val="32"/>
          <w:szCs w:val="32"/>
        </w:rPr>
        <w:t>评价工作办公室对申报企业提交的材料进行初步资格审查认定，出具资料审查意见表。</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第十一条  </w:t>
      </w:r>
      <w:r>
        <w:rPr>
          <w:rFonts w:hint="eastAsia" w:ascii="仿宋" w:hAnsi="仿宋" w:eastAsia="仿宋" w:cs="仿宋"/>
          <w:sz w:val="32"/>
          <w:szCs w:val="32"/>
        </w:rPr>
        <w:t>现场考察评审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对资格审查通过的企业，评价工作办公室对申报单位的材料进行汇总，在规定日期内，组织专家评审委员会，对申报单位进行现场考察评审。</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第十二条  </w:t>
      </w:r>
      <w:r>
        <w:rPr>
          <w:rFonts w:hint="eastAsia" w:ascii="仿宋" w:hAnsi="仿宋" w:eastAsia="仿宋" w:cs="仿宋"/>
          <w:sz w:val="32"/>
          <w:szCs w:val="32"/>
        </w:rPr>
        <w:t>评审结论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评审委员会结合现场考察情况，对考察企业出具评审结论。评价总分值为5分，分5个等级，得分0.8（含）-1.8为一级（流程级），得分1.8（含）-2.8为二级（自动级），得分2.8（含）-3.8为三级（集成级），得分3.8（含）-4.8为四级（优化级），得分4.8（含）-5为五级（自治级）。评价工作办公室根据评审结论确定成熟度评价等级。</w:t>
      </w:r>
    </w:p>
    <w:p>
      <w:pPr>
        <w:spacing w:line="360" w:lineRule="auto"/>
        <w:ind w:firstLine="643" w:firstLineChars="200"/>
        <w:rPr>
          <w:rFonts w:ascii="仿宋" w:hAnsi="仿宋" w:eastAsia="仿宋" w:cs="仿宋"/>
          <w:sz w:val="32"/>
          <w:szCs w:val="32"/>
        </w:rPr>
      </w:pPr>
      <w:bookmarkStart w:id="0" w:name="OLE_LINK25"/>
      <w:bookmarkStart w:id="1" w:name="OLE_LINK24"/>
      <w:r>
        <w:rPr>
          <w:rStyle w:val="20"/>
          <w:rFonts w:hint="eastAsia" w:ascii="仿宋" w:hAnsi="仿宋" w:eastAsia="仿宋" w:cs="仿宋"/>
          <w:sz w:val="32"/>
        </w:rPr>
        <w:t xml:space="preserve">第十三条  </w:t>
      </w:r>
      <w:r>
        <w:rPr>
          <w:rFonts w:hint="eastAsia" w:ascii="仿宋" w:hAnsi="仿宋" w:eastAsia="仿宋" w:cs="仿宋"/>
          <w:sz w:val="32"/>
          <w:szCs w:val="32"/>
        </w:rPr>
        <w:t>公示公告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评价工作办公室对确定的评价等级进行公示，广泛征求意见，受理咨询和投诉。公示无异议后，报表彰活动领导小组，最终批准通过后，由中国铸造协会发布公告。</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第十四条  </w:t>
      </w:r>
      <w:r>
        <w:rPr>
          <w:rFonts w:hint="eastAsia" w:ascii="仿宋" w:hAnsi="仿宋" w:eastAsia="仿宋" w:cs="仿宋"/>
          <w:sz w:val="32"/>
          <w:szCs w:val="32"/>
        </w:rPr>
        <w:t>授牌</w:t>
      </w:r>
    </w:p>
    <w:p>
      <w:pPr>
        <w:spacing w:line="360" w:lineRule="auto"/>
        <w:ind w:firstLine="640" w:firstLineChars="200"/>
        <w:rPr>
          <w:rFonts w:ascii="仿宋" w:hAnsi="仿宋" w:eastAsia="仿宋" w:cs="仿宋"/>
          <w:sz w:val="32"/>
          <w:szCs w:val="32"/>
        </w:rPr>
      </w:pPr>
      <w:r>
        <w:rPr>
          <w:rFonts w:hint="eastAsia" w:ascii="仿宋" w:hAnsi="仿宋" w:eastAsia="仿宋" w:cs="仿宋"/>
          <w:kern w:val="0"/>
          <w:sz w:val="32"/>
          <w:szCs w:val="32"/>
        </w:rPr>
        <w:t>评为</w:t>
      </w:r>
      <w:r>
        <w:rPr>
          <w:rFonts w:hint="eastAsia" w:ascii="仿宋" w:hAnsi="仿宋" w:eastAsia="仿宋" w:cs="仿宋"/>
          <w:sz w:val="32"/>
          <w:szCs w:val="32"/>
        </w:rPr>
        <w:t>三级及以上的</w:t>
      </w:r>
      <w:r>
        <w:rPr>
          <w:rFonts w:hint="eastAsia" w:ascii="仿宋" w:hAnsi="仿宋" w:eastAsia="仿宋" w:cs="仿宋"/>
          <w:kern w:val="0"/>
          <w:sz w:val="32"/>
          <w:szCs w:val="32"/>
        </w:rPr>
        <w:t>单位，将在</w:t>
      </w:r>
      <w:r>
        <w:rPr>
          <w:rFonts w:hint="eastAsia" w:ascii="仿宋" w:hAnsi="仿宋" w:eastAsia="仿宋" w:cs="仿宋"/>
          <w:sz w:val="32"/>
          <w:szCs w:val="32"/>
        </w:rPr>
        <w:t>当年重要会议期间举行授牌仪式。</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第十五条  </w:t>
      </w:r>
      <w:r>
        <w:rPr>
          <w:rFonts w:hint="eastAsia" w:ascii="仿宋" w:hAnsi="仿宋" w:eastAsia="仿宋" w:cs="仿宋"/>
          <w:sz w:val="32"/>
          <w:szCs w:val="32"/>
        </w:rPr>
        <w:t>公布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获得铸造企业智能制造能力成熟度对标评价证书</w:t>
      </w:r>
      <w:r>
        <w:rPr>
          <w:rFonts w:hint="eastAsia" w:ascii="仿宋" w:hAnsi="仿宋" w:eastAsia="仿宋" w:cs="仿宋"/>
          <w:kern w:val="0"/>
          <w:sz w:val="32"/>
          <w:szCs w:val="32"/>
        </w:rPr>
        <w:t>的企业</w:t>
      </w:r>
      <w:r>
        <w:rPr>
          <w:rFonts w:hint="eastAsia" w:ascii="仿宋" w:hAnsi="仿宋" w:eastAsia="仿宋" w:cs="仿宋"/>
          <w:sz w:val="32"/>
          <w:szCs w:val="32"/>
        </w:rPr>
        <w:t>将在</w:t>
      </w:r>
      <w:r>
        <w:rPr>
          <w:rFonts w:hint="eastAsia" w:ascii="仿宋" w:hAnsi="仿宋" w:eastAsia="仿宋"/>
          <w:sz w:val="32"/>
          <w:szCs w:val="32"/>
        </w:rPr>
        <w:t>《铸造工程》、《铸造纵横》、铸造头条等多家</w:t>
      </w:r>
      <w:r>
        <w:rPr>
          <w:rFonts w:hint="eastAsia" w:ascii="仿宋" w:hAnsi="仿宋" w:eastAsia="仿宋" w:cs="仿宋"/>
          <w:sz w:val="32"/>
          <w:szCs w:val="32"/>
        </w:rPr>
        <w:t>媒体予以公布。</w:t>
      </w:r>
    </w:p>
    <w:p>
      <w:pPr>
        <w:pStyle w:val="2"/>
        <w:jc w:val="left"/>
        <w:rPr>
          <w:rFonts w:ascii="仿宋" w:hAnsi="仿宋" w:eastAsia="仿宋" w:cs="仿宋"/>
          <w:sz w:val="32"/>
        </w:rPr>
      </w:pPr>
      <w:r>
        <w:rPr>
          <w:rFonts w:hint="eastAsia" w:ascii="仿宋" w:hAnsi="仿宋" w:eastAsia="仿宋" w:cs="仿宋"/>
          <w:sz w:val="32"/>
        </w:rPr>
        <w:t>第五章  管理与服务</w:t>
      </w:r>
    </w:p>
    <w:p>
      <w:pPr>
        <w:spacing w:line="360" w:lineRule="auto"/>
        <w:ind w:firstLine="643" w:firstLineChars="200"/>
        <w:rPr>
          <w:rFonts w:ascii="仿宋" w:hAnsi="仿宋" w:eastAsia="仿宋" w:cs="仿宋"/>
          <w:sz w:val="32"/>
          <w:szCs w:val="32"/>
          <w:highlight w:val="yellow"/>
        </w:rPr>
      </w:pPr>
      <w:r>
        <w:rPr>
          <w:rStyle w:val="20"/>
          <w:rFonts w:hint="eastAsia" w:ascii="仿宋" w:hAnsi="仿宋" w:eastAsia="仿宋" w:cs="仿宋"/>
          <w:sz w:val="32"/>
        </w:rPr>
        <w:t xml:space="preserve">第十六条  </w:t>
      </w:r>
      <w:r>
        <w:rPr>
          <w:rFonts w:hint="eastAsia" w:ascii="仿宋" w:hAnsi="仿宋" w:eastAsia="仿宋" w:cs="仿宋"/>
          <w:sz w:val="32"/>
          <w:szCs w:val="32"/>
        </w:rPr>
        <w:t>评价活动每年开展一次，遵循企业自愿参与原则。</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第十七条  </w:t>
      </w:r>
      <w:r>
        <w:rPr>
          <w:rFonts w:hint="eastAsia" w:ascii="仿宋" w:hAnsi="仿宋" w:eastAsia="仿宋" w:cs="仿宋"/>
          <w:sz w:val="32"/>
          <w:szCs w:val="32"/>
        </w:rPr>
        <w:t>铸造企业智能制造能力成熟度对标评价证书有效期为四年。有效期满后，需重新申报复核。</w:t>
      </w:r>
    </w:p>
    <w:p>
      <w:pPr>
        <w:spacing w:line="360" w:lineRule="auto"/>
        <w:ind w:firstLine="643" w:firstLineChars="200"/>
        <w:rPr>
          <w:rFonts w:ascii="仿宋" w:hAnsi="仿宋" w:eastAsia="仿宋" w:cs="仿宋"/>
          <w:kern w:val="0"/>
          <w:sz w:val="32"/>
          <w:szCs w:val="32"/>
        </w:rPr>
      </w:pPr>
      <w:r>
        <w:rPr>
          <w:rStyle w:val="20"/>
          <w:rFonts w:hint="eastAsia" w:ascii="仿宋" w:hAnsi="仿宋" w:eastAsia="仿宋" w:cs="仿宋"/>
          <w:sz w:val="32"/>
        </w:rPr>
        <w:t xml:space="preserve">第十八条  </w:t>
      </w:r>
      <w:r>
        <w:rPr>
          <w:rFonts w:hint="eastAsia" w:ascii="仿宋" w:hAnsi="仿宋" w:eastAsia="仿宋" w:cs="仿宋"/>
          <w:kern w:val="0"/>
          <w:sz w:val="32"/>
          <w:szCs w:val="32"/>
        </w:rPr>
        <w:t>在证书有效期内，中国铸造协会评价工作办公室对已获得证书的单位实施动态管理。</w:t>
      </w:r>
    </w:p>
    <w:bookmarkEnd w:id="0"/>
    <w:bookmarkEnd w:id="1"/>
    <w:p>
      <w:pPr>
        <w:pStyle w:val="2"/>
        <w:spacing w:line="360" w:lineRule="auto"/>
        <w:jc w:val="left"/>
        <w:rPr>
          <w:rFonts w:ascii="仿宋" w:hAnsi="仿宋" w:eastAsia="仿宋" w:cs="仿宋"/>
          <w:sz w:val="32"/>
        </w:rPr>
      </w:pPr>
      <w:r>
        <w:rPr>
          <w:rFonts w:hint="eastAsia" w:ascii="仿宋" w:hAnsi="仿宋" w:eastAsia="仿宋" w:cs="仿宋"/>
          <w:sz w:val="32"/>
        </w:rPr>
        <w:t>第六章  附则</w:t>
      </w:r>
    </w:p>
    <w:p>
      <w:pPr>
        <w:spacing w:line="360" w:lineRule="auto"/>
        <w:ind w:firstLine="643" w:firstLineChars="200"/>
        <w:rPr>
          <w:rFonts w:ascii="仿宋" w:hAnsi="仿宋" w:eastAsia="仿宋" w:cs="仿宋"/>
          <w:sz w:val="32"/>
          <w:szCs w:val="32"/>
        </w:rPr>
      </w:pPr>
      <w:r>
        <w:rPr>
          <w:rStyle w:val="20"/>
          <w:rFonts w:hint="eastAsia" w:ascii="仿宋" w:hAnsi="仿宋" w:eastAsia="仿宋" w:cs="仿宋"/>
          <w:sz w:val="32"/>
        </w:rPr>
        <w:t xml:space="preserve">第十九条  </w:t>
      </w:r>
      <w:r>
        <w:rPr>
          <w:rFonts w:hint="eastAsia" w:ascii="仿宋" w:hAnsi="仿宋" w:eastAsia="仿宋" w:cs="仿宋"/>
          <w:sz w:val="32"/>
          <w:szCs w:val="32"/>
        </w:rPr>
        <w:t>本办法由中国铸造协会负责解释。</w:t>
      </w:r>
    </w:p>
    <w:p>
      <w:pPr>
        <w:widowControl/>
        <w:ind w:firstLine="643" w:firstLineChars="200"/>
        <w:jc w:val="left"/>
        <w:rPr>
          <w:rFonts w:ascii="宋体" w:hAnsi="宋体"/>
          <w:sz w:val="28"/>
          <w:szCs w:val="28"/>
        </w:rPr>
      </w:pPr>
      <w:r>
        <w:rPr>
          <w:rFonts w:hint="eastAsia" w:ascii="仿宋" w:hAnsi="仿宋" w:eastAsia="仿宋" w:cs="仿宋"/>
          <w:b/>
          <w:sz w:val="32"/>
          <w:szCs w:val="32"/>
        </w:rPr>
        <w:t>第二十条</w:t>
      </w:r>
      <w:r>
        <w:rPr>
          <w:rFonts w:hint="eastAsia" w:ascii="仿宋" w:hAnsi="仿宋" w:eastAsia="仿宋" w:cs="仿宋"/>
          <w:sz w:val="32"/>
          <w:szCs w:val="32"/>
        </w:rPr>
        <w:t xml:space="preserve">  本办法自公布之日起实行。</w:t>
      </w:r>
    </w:p>
    <w:p>
      <w:pPr>
        <w:rPr>
          <w:rFonts w:ascii="黑体" w:hAnsi="宋体" w:eastAsia="黑体"/>
          <w:bCs/>
          <w:spacing w:val="30"/>
          <w:sz w:val="32"/>
          <w:szCs w:val="32"/>
        </w:rPr>
      </w:pPr>
      <w:r>
        <w:rPr>
          <w:rFonts w:hint="eastAsia" w:ascii="宋体" w:hAnsi="宋体"/>
          <w:sz w:val="28"/>
          <w:szCs w:val="28"/>
        </w:rPr>
        <w:br w:type="page"/>
      </w:r>
    </w:p>
    <w:p>
      <w:pPr>
        <w:jc w:val="left"/>
        <w:rPr>
          <w:rFonts w:ascii="黑体" w:hAnsi="黑体" w:eastAsia="黑体"/>
          <w:sz w:val="32"/>
          <w:szCs w:val="32"/>
        </w:rPr>
      </w:pPr>
      <w:r>
        <w:rPr>
          <w:rFonts w:hint="eastAsia" w:ascii="黑体" w:hAnsi="黑体" w:eastAsia="黑体"/>
          <w:sz w:val="32"/>
          <w:szCs w:val="32"/>
        </w:rPr>
        <w:t>附件2</w:t>
      </w:r>
    </w:p>
    <w:p>
      <w:pPr>
        <w:jc w:val="center"/>
        <w:rPr>
          <w:rFonts w:ascii="黑体" w:hAnsi="宋体" w:eastAsia="黑体"/>
          <w:bCs/>
          <w:spacing w:val="30"/>
          <w:sz w:val="52"/>
          <w:szCs w:val="52"/>
        </w:rPr>
      </w:pPr>
    </w:p>
    <w:p>
      <w:pPr>
        <w:jc w:val="center"/>
        <w:rPr>
          <w:rFonts w:ascii="方正小标宋简体" w:hAnsi="宋体" w:eastAsia="方正小标宋简体"/>
          <w:bCs/>
          <w:spacing w:val="40"/>
          <w:sz w:val="48"/>
          <w:szCs w:val="48"/>
        </w:rPr>
      </w:pPr>
      <w:r>
        <w:rPr>
          <w:rFonts w:hint="eastAsia" w:ascii="方正小标宋简体" w:hAnsi="宋体" w:eastAsia="方正小标宋简体"/>
          <w:bCs/>
          <w:spacing w:val="30"/>
          <w:sz w:val="48"/>
          <w:szCs w:val="48"/>
        </w:rPr>
        <w:t>铸造企业智能制造能力成熟度对标评价申报书</w:t>
      </w: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申请单位：（加盖单位公章）</w:t>
      </w: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 xml:space="preserve">申请时间： </w:t>
      </w: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 xml:space="preserve">联系人： </w:t>
      </w: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 xml:space="preserve">联系方式： </w:t>
      </w:r>
    </w:p>
    <w:p>
      <w:pPr>
        <w:widowControl/>
        <w:jc w:val="left"/>
      </w:pPr>
      <w:r>
        <w:br w:type="page"/>
      </w:r>
    </w:p>
    <w:p>
      <w:pPr>
        <w:spacing w:line="400" w:lineRule="exact"/>
        <w:jc w:val="center"/>
        <w:rPr>
          <w:rFonts w:ascii="仿宋_GB2312" w:eastAsia="仿宋_GB2312"/>
          <w:b/>
          <w:color w:val="000000"/>
          <w:sz w:val="36"/>
          <w:szCs w:val="36"/>
        </w:rPr>
      </w:pPr>
    </w:p>
    <w:p>
      <w:pPr>
        <w:spacing w:line="400" w:lineRule="exact"/>
        <w:jc w:val="center"/>
        <w:rPr>
          <w:rFonts w:ascii="仿宋_GB2312" w:eastAsia="仿宋_GB2312"/>
          <w:b/>
          <w:color w:val="000000"/>
          <w:sz w:val="32"/>
          <w:szCs w:val="32"/>
        </w:rPr>
      </w:pPr>
      <w:r>
        <w:rPr>
          <w:rFonts w:hint="eastAsia" w:ascii="仿宋_GB2312" w:eastAsia="仿宋_GB2312"/>
          <w:b/>
          <w:color w:val="000000"/>
          <w:sz w:val="32"/>
          <w:szCs w:val="32"/>
        </w:rPr>
        <w:t>填 写 说 明</w:t>
      </w:r>
    </w:p>
    <w:p>
      <w:pPr>
        <w:spacing w:line="400" w:lineRule="exact"/>
        <w:jc w:val="center"/>
        <w:rPr>
          <w:rFonts w:ascii="仿宋_GB2312" w:eastAsia="仿宋_GB2312"/>
          <w:b/>
          <w:color w:val="000000"/>
          <w:sz w:val="30"/>
          <w:szCs w:val="30"/>
        </w:rPr>
      </w:pPr>
    </w:p>
    <w:p>
      <w:pPr>
        <w:pStyle w:val="19"/>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1.申报书分为两个表，表1为《铸造企业智能制造能力成熟度评估基本信息登记表》，表2为《铸造企业智能制造能力成熟度评估参评企业申报表》；</w:t>
      </w:r>
    </w:p>
    <w:p>
      <w:pPr>
        <w:pStyle w:val="19"/>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2.申报企业填写内容及提供资料须保证其真实完整无误；</w:t>
      </w:r>
    </w:p>
    <w:p>
      <w:pPr>
        <w:pStyle w:val="19"/>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3.申报书内各栏不得空项，无内容时须填“无”；</w:t>
      </w:r>
    </w:p>
    <w:p>
      <w:pPr>
        <w:pStyle w:val="19"/>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4.本表各栏如有填写不够处，请自行加栏或另附页，对于表2，需要添加附件时，请在备注栏“见附件”处以“■”进行标识；</w:t>
      </w:r>
    </w:p>
    <w:p>
      <w:pPr>
        <w:pStyle w:val="19"/>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5.提交方式：</w:t>
      </w:r>
    </w:p>
    <w:p>
      <w:pPr>
        <w:pStyle w:val="19"/>
        <w:numPr>
          <w:ilvl w:val="0"/>
          <w:numId w:val="1"/>
        </w:numPr>
        <w:spacing w:before="156" w:beforeLines="50" w:after="156" w:afterLines="50" w:line="360" w:lineRule="auto"/>
        <w:ind w:firstLine="560" w:firstLineChars="0"/>
        <w:jc w:val="left"/>
        <w:rPr>
          <w:rFonts w:ascii="仿宋_GB2312" w:eastAsia="仿宋_GB2312"/>
          <w:color w:val="000000"/>
          <w:sz w:val="28"/>
          <w:szCs w:val="28"/>
        </w:rPr>
      </w:pPr>
      <w:r>
        <w:rPr>
          <w:rFonts w:hint="eastAsia" w:ascii="仿宋_GB2312" w:eastAsia="仿宋_GB2312"/>
          <w:color w:val="000000"/>
          <w:sz w:val="28"/>
          <w:szCs w:val="28"/>
        </w:rPr>
        <w:t>相关书面资料或光盘等附在此申报书后面，书面资料用A4纸打印并装订成册，一式一份，邮寄到联系人；</w:t>
      </w:r>
    </w:p>
    <w:p>
      <w:pPr>
        <w:pStyle w:val="19"/>
        <w:numPr>
          <w:ilvl w:val="0"/>
          <w:numId w:val="1"/>
        </w:numPr>
        <w:spacing w:before="156" w:beforeLines="50" w:after="156" w:afterLines="50" w:line="360" w:lineRule="auto"/>
        <w:ind w:firstLine="560" w:firstLineChars="0"/>
        <w:jc w:val="left"/>
        <w:rPr>
          <w:rFonts w:ascii="仿宋_GB2312" w:eastAsia="仿宋_GB2312"/>
          <w:color w:val="000000"/>
          <w:sz w:val="28"/>
          <w:szCs w:val="28"/>
        </w:rPr>
      </w:pPr>
      <w:r>
        <w:rPr>
          <w:rFonts w:hint="eastAsia" w:ascii="仿宋_GB2312" w:eastAsia="仿宋_GB2312"/>
          <w:color w:val="000000"/>
          <w:sz w:val="28"/>
          <w:szCs w:val="28"/>
        </w:rPr>
        <w:t>电子版须含申报书所有内容及生产现场视频，并发到联系人邮箱(见“通知”)。</w:t>
      </w:r>
    </w:p>
    <w:p>
      <w:pPr>
        <w:widowControl/>
        <w:jc w:val="left"/>
        <w:rPr>
          <w:rFonts w:ascii="黑体" w:eastAsia="黑体"/>
          <w:b/>
          <w:sz w:val="28"/>
          <w:szCs w:val="28"/>
        </w:rPr>
      </w:pPr>
      <w:r>
        <w:rPr>
          <w:rFonts w:ascii="黑体" w:eastAsia="黑体"/>
          <w:b/>
          <w:sz w:val="28"/>
          <w:szCs w:val="28"/>
        </w:rPr>
        <w:br w:type="page"/>
      </w:r>
    </w:p>
    <w:p>
      <w:pPr>
        <w:jc w:val="left"/>
        <w:rPr>
          <w:rFonts w:ascii="黑体" w:hAnsi="黑体" w:eastAsia="黑体"/>
          <w:sz w:val="32"/>
          <w:szCs w:val="32"/>
        </w:rPr>
      </w:pPr>
      <w:r>
        <w:rPr>
          <w:rFonts w:hint="eastAsia" w:ascii="黑体" w:hAnsi="黑体" w:eastAsia="黑体"/>
          <w:sz w:val="32"/>
          <w:szCs w:val="32"/>
        </w:rPr>
        <w:t>表1</w:t>
      </w:r>
    </w:p>
    <w:p>
      <w:pPr>
        <w:snapToGrid w:val="0"/>
        <w:spacing w:line="360" w:lineRule="auto"/>
        <w:jc w:val="center"/>
        <w:rPr>
          <w:rFonts w:ascii="方正小标宋简体" w:hAnsi="仿宋" w:eastAsia="方正小标宋简体"/>
          <w:bCs/>
          <w:sz w:val="32"/>
          <w:szCs w:val="32"/>
        </w:rPr>
      </w:pPr>
      <w:r>
        <w:rPr>
          <w:rFonts w:hint="eastAsia" w:ascii="方正小标宋简体" w:hAnsi="仿宋" w:eastAsia="方正小标宋简体"/>
          <w:bCs/>
          <w:sz w:val="32"/>
          <w:szCs w:val="32"/>
        </w:rPr>
        <w:t>铸造企业基本信息登记表</w:t>
      </w:r>
    </w:p>
    <w:tbl>
      <w:tblPr>
        <w:tblStyle w:val="10"/>
        <w:tblW w:w="884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277"/>
        <w:gridCol w:w="197"/>
        <w:gridCol w:w="795"/>
        <w:gridCol w:w="993"/>
        <w:gridCol w:w="145"/>
        <w:gridCol w:w="1018"/>
        <w:gridCol w:w="1051"/>
        <w:gridCol w:w="28"/>
        <w:gridCol w:w="970"/>
        <w:gridCol w:w="926"/>
        <w:gridCol w:w="14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企业名称</w:t>
            </w:r>
          </w:p>
        </w:tc>
        <w:tc>
          <w:tcPr>
            <w:tcW w:w="5197" w:type="dxa"/>
            <w:gridSpan w:val="8"/>
            <w:vAlign w:val="center"/>
          </w:tcPr>
          <w:p>
            <w:pPr>
              <w:autoSpaceDE w:val="0"/>
              <w:autoSpaceDN w:val="0"/>
              <w:jc w:val="center"/>
              <w:rPr>
                <w:rFonts w:ascii="仿宋" w:hAnsi="仿宋" w:eastAsia="仿宋" w:cs="仿宋"/>
                <w:kern w:val="0"/>
                <w:szCs w:val="21"/>
              </w:rPr>
            </w:pPr>
          </w:p>
        </w:tc>
        <w:tc>
          <w:tcPr>
            <w:tcW w:w="926"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企业性质</w:t>
            </w:r>
          </w:p>
        </w:tc>
        <w:tc>
          <w:tcPr>
            <w:tcW w:w="1448" w:type="dxa"/>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通信地址</w:t>
            </w:r>
          </w:p>
        </w:tc>
        <w:tc>
          <w:tcPr>
            <w:tcW w:w="5197" w:type="dxa"/>
            <w:gridSpan w:val="8"/>
            <w:tcBorders>
              <w:right w:val="single" w:color="auto" w:sz="4" w:space="0"/>
            </w:tcBorders>
            <w:vAlign w:val="center"/>
          </w:tcPr>
          <w:p>
            <w:pPr>
              <w:autoSpaceDE w:val="0"/>
              <w:autoSpaceDN w:val="0"/>
              <w:jc w:val="center"/>
              <w:rPr>
                <w:rFonts w:ascii="仿宋" w:hAnsi="仿宋" w:eastAsia="仿宋" w:cs="仿宋"/>
                <w:kern w:val="0"/>
                <w:szCs w:val="21"/>
              </w:rPr>
            </w:pPr>
          </w:p>
        </w:tc>
        <w:tc>
          <w:tcPr>
            <w:tcW w:w="926" w:type="dxa"/>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kern w:val="0"/>
                <w:szCs w:val="21"/>
              </w:rPr>
              <w:t>企业网址</w:t>
            </w:r>
          </w:p>
        </w:tc>
        <w:tc>
          <w:tcPr>
            <w:tcW w:w="1448" w:type="dxa"/>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企业法人</w:t>
            </w:r>
          </w:p>
        </w:tc>
        <w:tc>
          <w:tcPr>
            <w:tcW w:w="992" w:type="dxa"/>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1138" w:type="dxa"/>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r>
              <w:rPr>
                <w:rFonts w:hint="eastAsia" w:ascii="仿宋" w:hAnsi="仿宋" w:eastAsia="仿宋" w:cs="仿宋"/>
                <w:kern w:val="0"/>
                <w:szCs w:val="21"/>
              </w:rPr>
              <w:t>手机</w:t>
            </w:r>
          </w:p>
        </w:tc>
        <w:tc>
          <w:tcPr>
            <w:tcW w:w="1018" w:type="dxa"/>
            <w:tcBorders>
              <w:right w:val="single" w:color="auto" w:sz="4" w:space="0"/>
            </w:tcBorders>
            <w:vAlign w:val="center"/>
          </w:tcPr>
          <w:p>
            <w:pPr>
              <w:autoSpaceDE w:val="0"/>
              <w:autoSpaceDN w:val="0"/>
              <w:jc w:val="center"/>
              <w:rPr>
                <w:rFonts w:ascii="仿宋" w:hAnsi="仿宋" w:eastAsia="仿宋" w:cs="仿宋"/>
                <w:kern w:val="0"/>
                <w:szCs w:val="21"/>
              </w:rPr>
            </w:pPr>
          </w:p>
        </w:tc>
        <w:tc>
          <w:tcPr>
            <w:tcW w:w="1079" w:type="dxa"/>
            <w:gridSpan w:val="2"/>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传真</w:t>
            </w:r>
          </w:p>
        </w:tc>
        <w:tc>
          <w:tcPr>
            <w:tcW w:w="970" w:type="dxa"/>
            <w:tcBorders>
              <w:right w:val="single" w:color="auto" w:sz="4" w:space="0"/>
            </w:tcBorders>
            <w:vAlign w:val="center"/>
          </w:tcPr>
          <w:p>
            <w:pPr>
              <w:autoSpaceDE w:val="0"/>
              <w:autoSpaceDN w:val="0"/>
              <w:jc w:val="center"/>
              <w:rPr>
                <w:rFonts w:ascii="仿宋" w:hAnsi="仿宋" w:eastAsia="仿宋" w:cs="仿宋"/>
                <w:kern w:val="0"/>
                <w:szCs w:val="21"/>
              </w:rPr>
            </w:pPr>
          </w:p>
        </w:tc>
        <w:tc>
          <w:tcPr>
            <w:tcW w:w="926" w:type="dxa"/>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E-mail</w:t>
            </w:r>
          </w:p>
        </w:tc>
        <w:tc>
          <w:tcPr>
            <w:tcW w:w="1448" w:type="dxa"/>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kern w:val="0"/>
                <w:szCs w:val="21"/>
              </w:rPr>
              <w:t>指定联系人</w:t>
            </w:r>
          </w:p>
        </w:tc>
        <w:tc>
          <w:tcPr>
            <w:tcW w:w="992" w:type="dxa"/>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1138" w:type="dxa"/>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r>
              <w:rPr>
                <w:rFonts w:hint="eastAsia" w:ascii="仿宋" w:hAnsi="仿宋" w:eastAsia="仿宋" w:cs="仿宋"/>
                <w:kern w:val="0"/>
                <w:szCs w:val="21"/>
              </w:rPr>
              <w:t>手机</w:t>
            </w:r>
          </w:p>
        </w:tc>
        <w:tc>
          <w:tcPr>
            <w:tcW w:w="1018" w:type="dxa"/>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1079" w:type="dxa"/>
            <w:gridSpan w:val="2"/>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kern w:val="0"/>
                <w:szCs w:val="21"/>
              </w:rPr>
              <w:t>职务</w:t>
            </w:r>
          </w:p>
        </w:tc>
        <w:tc>
          <w:tcPr>
            <w:tcW w:w="970" w:type="dxa"/>
            <w:tcBorders>
              <w:right w:val="single" w:color="auto" w:sz="4" w:space="0"/>
            </w:tcBorders>
            <w:vAlign w:val="center"/>
          </w:tcPr>
          <w:p>
            <w:pPr>
              <w:autoSpaceDE w:val="0"/>
              <w:autoSpaceDN w:val="0"/>
              <w:jc w:val="center"/>
              <w:rPr>
                <w:rFonts w:ascii="仿宋" w:hAnsi="仿宋" w:eastAsia="仿宋" w:cs="仿宋"/>
                <w:kern w:val="0"/>
                <w:szCs w:val="21"/>
              </w:rPr>
            </w:pPr>
          </w:p>
        </w:tc>
        <w:tc>
          <w:tcPr>
            <w:tcW w:w="926" w:type="dxa"/>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E-mail</w:t>
            </w:r>
          </w:p>
        </w:tc>
        <w:tc>
          <w:tcPr>
            <w:tcW w:w="1448" w:type="dxa"/>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职工总数（人）</w:t>
            </w:r>
          </w:p>
        </w:tc>
        <w:tc>
          <w:tcPr>
            <w:tcW w:w="992" w:type="dxa"/>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1138" w:type="dxa"/>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r>
              <w:rPr>
                <w:rFonts w:hint="eastAsia" w:ascii="仿宋" w:hAnsi="仿宋" w:eastAsia="仿宋" w:cs="仿宋"/>
                <w:color w:val="000000"/>
                <w:kern w:val="0"/>
                <w:szCs w:val="21"/>
              </w:rPr>
              <w:t>技术人员（人）</w:t>
            </w:r>
          </w:p>
        </w:tc>
        <w:tc>
          <w:tcPr>
            <w:tcW w:w="1018" w:type="dxa"/>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1079" w:type="dxa"/>
            <w:gridSpan w:val="2"/>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kern w:val="0"/>
                <w:szCs w:val="21"/>
              </w:rPr>
              <w:t>高级职称人数</w:t>
            </w:r>
          </w:p>
        </w:tc>
        <w:tc>
          <w:tcPr>
            <w:tcW w:w="970" w:type="dxa"/>
            <w:tcBorders>
              <w:right w:val="single" w:color="auto" w:sz="4" w:space="0"/>
            </w:tcBorders>
            <w:vAlign w:val="center"/>
          </w:tcPr>
          <w:p>
            <w:pPr>
              <w:autoSpaceDE w:val="0"/>
              <w:autoSpaceDN w:val="0"/>
              <w:jc w:val="center"/>
              <w:rPr>
                <w:rFonts w:ascii="仿宋" w:hAnsi="仿宋" w:eastAsia="仿宋" w:cs="仿宋"/>
                <w:kern w:val="0"/>
                <w:szCs w:val="21"/>
              </w:rPr>
            </w:pPr>
          </w:p>
        </w:tc>
        <w:tc>
          <w:tcPr>
            <w:tcW w:w="926" w:type="dxa"/>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中级职称人数</w:t>
            </w:r>
          </w:p>
        </w:tc>
        <w:tc>
          <w:tcPr>
            <w:tcW w:w="1448" w:type="dxa"/>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是否为上市企业</w:t>
            </w:r>
          </w:p>
        </w:tc>
        <w:tc>
          <w:tcPr>
            <w:tcW w:w="3148" w:type="dxa"/>
            <w:gridSpan w:val="5"/>
            <w:tcBorders>
              <w:right w:val="single" w:color="auto" w:sz="4" w:space="0"/>
            </w:tcBorders>
            <w:vAlign w:val="center"/>
          </w:tcPr>
          <w:p>
            <w:pPr>
              <w:autoSpaceDE w:val="0"/>
              <w:autoSpaceDN w:val="0"/>
              <w:rPr>
                <w:rFonts w:ascii="仿宋" w:hAnsi="仿宋" w:eastAsia="仿宋" w:cs="仿宋"/>
                <w:kern w:val="0"/>
                <w:szCs w:val="21"/>
              </w:rPr>
            </w:pPr>
            <w:r>
              <w:rPr>
                <w:rFonts w:hint="eastAsia" w:ascii="仿宋" w:hAnsi="仿宋" w:eastAsia="仿宋" w:cs="仿宋"/>
                <w:kern w:val="0"/>
                <w:szCs w:val="21"/>
              </w:rPr>
              <w:t xml:space="preserve">□是         股票代码：       </w:t>
            </w:r>
          </w:p>
          <w:p>
            <w:pPr>
              <w:autoSpaceDE w:val="0"/>
              <w:autoSpaceDN w:val="0"/>
              <w:rPr>
                <w:rFonts w:ascii="仿宋" w:hAnsi="仿宋" w:eastAsia="仿宋" w:cs="仿宋"/>
                <w:kern w:val="0"/>
                <w:szCs w:val="21"/>
              </w:rPr>
            </w:pPr>
            <w:r>
              <w:rPr>
                <w:rFonts w:hint="eastAsia" w:ascii="仿宋" w:hAnsi="仿宋" w:eastAsia="仿宋" w:cs="仿宋"/>
                <w:kern w:val="0"/>
                <w:szCs w:val="21"/>
              </w:rPr>
              <w:t>□否</w:t>
            </w:r>
          </w:p>
        </w:tc>
        <w:tc>
          <w:tcPr>
            <w:tcW w:w="2049" w:type="dxa"/>
            <w:gridSpan w:val="3"/>
            <w:tcBorders>
              <w:right w:val="single" w:color="auto" w:sz="4" w:space="0"/>
            </w:tcBorders>
            <w:vAlign w:val="center"/>
          </w:tcPr>
          <w:p>
            <w:pPr>
              <w:autoSpaceDE w:val="0"/>
              <w:autoSpaceDN w:val="0"/>
              <w:ind w:firstLine="105" w:firstLineChars="50"/>
              <w:jc w:val="center"/>
              <w:rPr>
                <w:rFonts w:ascii="仿宋" w:hAnsi="仿宋" w:eastAsia="仿宋" w:cs="仿宋"/>
                <w:strike/>
                <w:kern w:val="0"/>
                <w:szCs w:val="21"/>
              </w:rPr>
            </w:pPr>
            <w:r>
              <w:rPr>
                <w:rFonts w:hint="eastAsia" w:ascii="仿宋" w:hAnsi="仿宋" w:eastAsia="仿宋" w:cs="仿宋"/>
                <w:color w:val="000000"/>
                <w:kern w:val="0"/>
                <w:szCs w:val="21"/>
              </w:rPr>
              <w:t>国家高新技术企业</w:t>
            </w:r>
          </w:p>
        </w:tc>
        <w:tc>
          <w:tcPr>
            <w:tcW w:w="2374" w:type="dxa"/>
            <w:gridSpan w:val="2"/>
            <w:tcBorders>
              <w:right w:val="single" w:color="auto" w:sz="4" w:space="0"/>
            </w:tcBorders>
            <w:vAlign w:val="center"/>
          </w:tcPr>
          <w:p>
            <w:pPr>
              <w:autoSpaceDE w:val="0"/>
              <w:autoSpaceDN w:val="0"/>
              <w:jc w:val="center"/>
              <w:rPr>
                <w:rFonts w:ascii="仿宋" w:hAnsi="仿宋" w:eastAsia="仿宋" w:cs="仿宋"/>
                <w:strike/>
                <w:kern w:val="0"/>
                <w:szCs w:val="21"/>
              </w:rPr>
            </w:pPr>
            <w:r>
              <w:rPr>
                <w:rFonts w:hint="eastAsia" w:ascii="仿宋" w:hAnsi="仿宋" w:eastAsia="仿宋" w:cs="仿宋"/>
                <w:kern w:val="0"/>
                <w:szCs w:val="21"/>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主要铸件类别</w:t>
            </w:r>
          </w:p>
        </w:tc>
        <w:tc>
          <w:tcPr>
            <w:tcW w:w="7571" w:type="dxa"/>
            <w:gridSpan w:val="10"/>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主要铸件名称</w:t>
            </w:r>
          </w:p>
        </w:tc>
        <w:tc>
          <w:tcPr>
            <w:tcW w:w="7571" w:type="dxa"/>
            <w:gridSpan w:val="10"/>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铸件材质</w:t>
            </w:r>
          </w:p>
        </w:tc>
        <w:tc>
          <w:tcPr>
            <w:tcW w:w="7571" w:type="dxa"/>
            <w:gridSpan w:val="10"/>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tcBorders>
              <w:bottom w:val="single" w:color="auto" w:sz="2"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铸造工艺</w:t>
            </w:r>
          </w:p>
        </w:tc>
        <w:tc>
          <w:tcPr>
            <w:tcW w:w="7571" w:type="dxa"/>
            <w:gridSpan w:val="10"/>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tcBorders>
              <w:tl2br w:val="single" w:color="auto" w:sz="4" w:space="0"/>
            </w:tcBorders>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 xml:space="preserve">      项目</w:t>
            </w:r>
          </w:p>
          <w:p>
            <w:pPr>
              <w:autoSpaceDE w:val="0"/>
              <w:autoSpaceDN w:val="0"/>
              <w:ind w:firstLine="105" w:firstLineChars="50"/>
              <w:rPr>
                <w:rFonts w:ascii="仿宋" w:hAnsi="仿宋" w:eastAsia="仿宋" w:cs="仿宋"/>
                <w:color w:val="000000"/>
                <w:kern w:val="0"/>
                <w:szCs w:val="21"/>
              </w:rPr>
            </w:pPr>
            <w:r>
              <w:rPr>
                <w:rFonts w:hint="eastAsia" w:ascii="仿宋" w:hAnsi="仿宋" w:eastAsia="仿宋" w:cs="仿宋"/>
                <w:color w:val="000000"/>
                <w:kern w:val="0"/>
                <w:szCs w:val="21"/>
              </w:rPr>
              <w:t>年度</w:t>
            </w:r>
          </w:p>
        </w:tc>
        <w:tc>
          <w:tcPr>
            <w:tcW w:w="992" w:type="dxa"/>
            <w:gridSpan w:val="2"/>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铸件产量（万吨）</w:t>
            </w:r>
          </w:p>
        </w:tc>
        <w:tc>
          <w:tcPr>
            <w:tcW w:w="993" w:type="dxa"/>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铸件销售量（万吨）</w:t>
            </w:r>
          </w:p>
        </w:tc>
        <w:tc>
          <w:tcPr>
            <w:tcW w:w="1163"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营业收入（万元）</w:t>
            </w:r>
          </w:p>
        </w:tc>
        <w:tc>
          <w:tcPr>
            <w:tcW w:w="1051" w:type="dxa"/>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纳税总额（万元）</w:t>
            </w:r>
          </w:p>
        </w:tc>
        <w:tc>
          <w:tcPr>
            <w:tcW w:w="998" w:type="dxa"/>
            <w:gridSpan w:val="2"/>
            <w:tcBorders>
              <w:lef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利润率（%）</w:t>
            </w:r>
          </w:p>
        </w:tc>
        <w:tc>
          <w:tcPr>
            <w:tcW w:w="926" w:type="dxa"/>
            <w:tcBorders>
              <w:lef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color w:val="000000"/>
                <w:kern w:val="0"/>
                <w:szCs w:val="21"/>
              </w:rPr>
              <w:t>人均产值（万元/人.年）</w:t>
            </w:r>
          </w:p>
        </w:tc>
        <w:tc>
          <w:tcPr>
            <w:tcW w:w="1448" w:type="dxa"/>
            <w:vAlign w:val="center"/>
          </w:tcPr>
          <w:p>
            <w:pPr>
              <w:autoSpaceDE w:val="0"/>
              <w:autoSpaceDN w:val="0"/>
              <w:ind w:firstLine="105" w:firstLineChars="50"/>
              <w:jc w:val="center"/>
              <w:rPr>
                <w:rFonts w:ascii="仿宋" w:hAnsi="仿宋" w:eastAsia="仿宋" w:cs="仿宋"/>
                <w:color w:val="000000"/>
                <w:kern w:val="0"/>
                <w:szCs w:val="21"/>
              </w:rPr>
            </w:pPr>
            <w:r>
              <w:rPr>
                <w:rFonts w:hint="eastAsia" w:ascii="仿宋" w:hAnsi="仿宋" w:eastAsia="仿宋" w:cs="仿宋"/>
                <w:kern w:val="0"/>
                <w:szCs w:val="21"/>
              </w:rPr>
              <w:t>铸件综合废品率%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w:t>
            </w:r>
            <w:r>
              <w:rPr>
                <w:rFonts w:ascii="仿宋" w:hAnsi="仿宋" w:eastAsia="仿宋" w:cs="仿宋"/>
                <w:color w:val="000000"/>
                <w:kern w:val="0"/>
                <w:szCs w:val="21"/>
              </w:rPr>
              <w:t>20</w:t>
            </w:r>
            <w:r>
              <w:rPr>
                <w:rFonts w:hint="eastAsia" w:ascii="仿宋" w:hAnsi="仿宋" w:eastAsia="仿宋" w:cs="仿宋"/>
                <w:color w:val="000000"/>
                <w:kern w:val="0"/>
                <w:szCs w:val="21"/>
              </w:rPr>
              <w:t>年</w:t>
            </w:r>
          </w:p>
        </w:tc>
        <w:tc>
          <w:tcPr>
            <w:tcW w:w="992" w:type="dxa"/>
            <w:gridSpan w:val="2"/>
            <w:vAlign w:val="center"/>
          </w:tcPr>
          <w:p>
            <w:pPr>
              <w:autoSpaceDE w:val="0"/>
              <w:autoSpaceDN w:val="0"/>
              <w:jc w:val="center"/>
              <w:rPr>
                <w:rFonts w:ascii="仿宋" w:hAnsi="仿宋" w:eastAsia="仿宋" w:cs="仿宋"/>
                <w:color w:val="000000"/>
                <w:kern w:val="0"/>
                <w:szCs w:val="21"/>
              </w:rPr>
            </w:pPr>
          </w:p>
        </w:tc>
        <w:tc>
          <w:tcPr>
            <w:tcW w:w="993"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1163"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1051"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998"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926" w:type="dxa"/>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1448" w:type="dxa"/>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w:t>
            </w:r>
            <w:r>
              <w:rPr>
                <w:rFonts w:ascii="仿宋" w:hAnsi="仿宋" w:eastAsia="仿宋" w:cs="仿宋"/>
                <w:color w:val="000000"/>
                <w:kern w:val="0"/>
                <w:szCs w:val="21"/>
              </w:rPr>
              <w:t>1</w:t>
            </w:r>
            <w:r>
              <w:rPr>
                <w:rFonts w:hint="eastAsia" w:ascii="仿宋" w:hAnsi="仿宋" w:eastAsia="仿宋" w:cs="仿宋"/>
                <w:color w:val="000000"/>
                <w:kern w:val="0"/>
                <w:szCs w:val="21"/>
              </w:rPr>
              <w:t>年</w:t>
            </w:r>
          </w:p>
        </w:tc>
        <w:tc>
          <w:tcPr>
            <w:tcW w:w="992" w:type="dxa"/>
            <w:gridSpan w:val="2"/>
            <w:vAlign w:val="center"/>
          </w:tcPr>
          <w:p>
            <w:pPr>
              <w:autoSpaceDE w:val="0"/>
              <w:autoSpaceDN w:val="0"/>
              <w:jc w:val="center"/>
              <w:rPr>
                <w:rFonts w:ascii="仿宋" w:hAnsi="仿宋" w:eastAsia="仿宋" w:cs="仿宋"/>
                <w:color w:val="000000"/>
                <w:kern w:val="0"/>
                <w:szCs w:val="21"/>
              </w:rPr>
            </w:pPr>
          </w:p>
        </w:tc>
        <w:tc>
          <w:tcPr>
            <w:tcW w:w="993"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1163"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1051"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998"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926" w:type="dxa"/>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1448" w:type="dxa"/>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w:t>
            </w:r>
            <w:r>
              <w:rPr>
                <w:rFonts w:ascii="仿宋" w:hAnsi="仿宋" w:eastAsia="仿宋" w:cs="仿宋"/>
                <w:color w:val="000000"/>
                <w:kern w:val="0"/>
                <w:szCs w:val="21"/>
              </w:rPr>
              <w:t>2</w:t>
            </w:r>
            <w:r>
              <w:rPr>
                <w:rFonts w:hint="eastAsia" w:ascii="仿宋" w:hAnsi="仿宋" w:eastAsia="仿宋" w:cs="仿宋"/>
                <w:color w:val="000000"/>
                <w:kern w:val="0"/>
                <w:szCs w:val="21"/>
              </w:rPr>
              <w:t>年</w:t>
            </w:r>
          </w:p>
        </w:tc>
        <w:tc>
          <w:tcPr>
            <w:tcW w:w="992" w:type="dxa"/>
            <w:gridSpan w:val="2"/>
            <w:vAlign w:val="center"/>
          </w:tcPr>
          <w:p>
            <w:pPr>
              <w:autoSpaceDE w:val="0"/>
              <w:autoSpaceDN w:val="0"/>
              <w:jc w:val="center"/>
              <w:rPr>
                <w:rFonts w:ascii="仿宋" w:hAnsi="仿宋" w:eastAsia="仿宋" w:cs="仿宋"/>
                <w:color w:val="000000"/>
                <w:kern w:val="0"/>
                <w:szCs w:val="21"/>
              </w:rPr>
            </w:pPr>
          </w:p>
        </w:tc>
        <w:tc>
          <w:tcPr>
            <w:tcW w:w="993"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1163"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1051"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998"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926" w:type="dxa"/>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1448" w:type="dxa"/>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77" w:type="dxa"/>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w:t>
            </w:r>
            <w:r>
              <w:rPr>
                <w:rFonts w:ascii="仿宋" w:hAnsi="仿宋" w:eastAsia="仿宋" w:cs="仿宋"/>
                <w:color w:val="000000"/>
                <w:kern w:val="0"/>
                <w:szCs w:val="21"/>
              </w:rPr>
              <w:t>3</w:t>
            </w:r>
            <w:r>
              <w:rPr>
                <w:rFonts w:hint="eastAsia" w:ascii="仿宋" w:hAnsi="仿宋" w:eastAsia="仿宋" w:cs="仿宋"/>
                <w:color w:val="000000"/>
                <w:kern w:val="0"/>
                <w:szCs w:val="21"/>
              </w:rPr>
              <w:t>年</w:t>
            </w:r>
          </w:p>
        </w:tc>
        <w:tc>
          <w:tcPr>
            <w:tcW w:w="992" w:type="dxa"/>
            <w:gridSpan w:val="2"/>
            <w:vAlign w:val="center"/>
          </w:tcPr>
          <w:p>
            <w:pPr>
              <w:autoSpaceDE w:val="0"/>
              <w:autoSpaceDN w:val="0"/>
              <w:jc w:val="center"/>
              <w:rPr>
                <w:rFonts w:ascii="仿宋" w:hAnsi="仿宋" w:eastAsia="仿宋" w:cs="仿宋"/>
                <w:color w:val="000000"/>
                <w:kern w:val="0"/>
                <w:szCs w:val="21"/>
              </w:rPr>
            </w:pPr>
          </w:p>
        </w:tc>
        <w:tc>
          <w:tcPr>
            <w:tcW w:w="993"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1163"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1051" w:type="dxa"/>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998" w:type="dxa"/>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926" w:type="dxa"/>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1448" w:type="dxa"/>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项目</w:t>
            </w:r>
          </w:p>
        </w:tc>
        <w:tc>
          <w:tcPr>
            <w:tcW w:w="5586" w:type="dxa"/>
            <w:gridSpan w:val="7"/>
            <w:tcBorders>
              <w:left w:val="single" w:color="auto" w:sz="4" w:space="0"/>
              <w:bottom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参考指标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主导产品对下游行业及其客户的贡献</w:t>
            </w:r>
          </w:p>
        </w:tc>
        <w:tc>
          <w:tcPr>
            <w:tcW w:w="5586" w:type="dxa"/>
            <w:gridSpan w:val="7"/>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□关键设备国产化关键件（含军工及航空航天产品）</w:t>
            </w:r>
          </w:p>
          <w:p>
            <w:pPr>
              <w:jc w:val="left"/>
              <w:rPr>
                <w:rFonts w:ascii="仿宋" w:hAnsi="仿宋" w:eastAsia="仿宋" w:cs="仿宋"/>
                <w:bCs/>
                <w:szCs w:val="21"/>
              </w:rPr>
            </w:pPr>
            <w:r>
              <w:rPr>
                <w:rFonts w:hint="eastAsia" w:ascii="仿宋" w:hAnsi="仿宋" w:eastAsia="仿宋" w:cs="仿宋"/>
                <w:bCs/>
                <w:szCs w:val="21"/>
              </w:rPr>
              <w:t>□重点装备重要功能件</w:t>
            </w:r>
          </w:p>
          <w:p>
            <w:pPr>
              <w:jc w:val="left"/>
              <w:rPr>
                <w:rFonts w:ascii="仿宋" w:hAnsi="仿宋" w:eastAsia="仿宋" w:cs="仿宋"/>
                <w:bCs/>
                <w:szCs w:val="21"/>
              </w:rPr>
            </w:pPr>
            <w:r>
              <w:rPr>
                <w:rFonts w:hint="eastAsia" w:ascii="仿宋" w:hAnsi="仿宋" w:eastAsia="仿宋" w:cs="仿宋"/>
                <w:bCs/>
                <w:szCs w:val="21"/>
              </w:rPr>
              <w:t>□客户采购重点产品、重要装备配合件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中国铸造行业企业信用等级评价或银行对企业进行的相关信用等级评价工作的结果</w:t>
            </w:r>
          </w:p>
        </w:tc>
        <w:tc>
          <w:tcPr>
            <w:tcW w:w="5586" w:type="dxa"/>
            <w:gridSpan w:val="7"/>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□AAA 级；□AA 级；□A 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vAlign w:val="center"/>
          </w:tcPr>
          <w:p>
            <w:pPr>
              <w:autoSpaceDE w:val="0"/>
              <w:autoSpaceDN w:val="0"/>
              <w:jc w:val="left"/>
              <w:rPr>
                <w:rFonts w:ascii="仿宋" w:hAnsi="仿宋" w:eastAsia="仿宋" w:cs="仿宋"/>
                <w:kern w:val="0"/>
                <w:szCs w:val="21"/>
              </w:rPr>
            </w:pPr>
            <w:r>
              <w:rPr>
                <w:rFonts w:hint="eastAsia" w:ascii="仿宋" w:hAnsi="仿宋" w:eastAsia="仿宋" w:cs="仿宋"/>
                <w:color w:val="000000"/>
                <w:kern w:val="0"/>
                <w:szCs w:val="21"/>
              </w:rPr>
              <w:t>企业技术中心、工程技术中心、重点实验室</w:t>
            </w:r>
          </w:p>
        </w:tc>
        <w:tc>
          <w:tcPr>
            <w:tcW w:w="5586" w:type="dxa"/>
            <w:gridSpan w:val="7"/>
            <w:tcBorders>
              <w:left w:val="single" w:color="auto" w:sz="4" w:space="0"/>
              <w:bottom w:val="single" w:color="auto" w:sz="4" w:space="0"/>
            </w:tcBorders>
            <w:vAlign w:val="center"/>
          </w:tcPr>
          <w:p>
            <w:pPr>
              <w:autoSpaceDE w:val="0"/>
              <w:autoSpaceDN w:val="0"/>
              <w:rPr>
                <w:rFonts w:ascii="仿宋" w:hAnsi="仿宋" w:eastAsia="仿宋" w:cs="仿宋"/>
                <w:kern w:val="0"/>
                <w:szCs w:val="21"/>
              </w:rPr>
            </w:pPr>
            <w:r>
              <w:rPr>
                <w:rFonts w:hint="eastAsia" w:ascii="仿宋" w:hAnsi="仿宋" w:eastAsia="仿宋" w:cs="仿宋"/>
                <w:kern w:val="0"/>
                <w:szCs w:val="21"/>
              </w:rPr>
              <w:t>□国家级    □省级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技术研发投入占销售收入的比例</w:t>
            </w:r>
          </w:p>
        </w:tc>
        <w:tc>
          <w:tcPr>
            <w:tcW w:w="5586" w:type="dxa"/>
            <w:gridSpan w:val="7"/>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□≥3%；□2%-3%；□1%及以下；□其他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科技质量获奖情况</w:t>
            </w:r>
          </w:p>
        </w:tc>
        <w:tc>
          <w:tcPr>
            <w:tcW w:w="5586" w:type="dxa"/>
            <w:gridSpan w:val="7"/>
            <w:tcBorders>
              <w:left w:val="single" w:color="auto" w:sz="4" w:space="0"/>
              <w:bottom w:val="single" w:color="auto" w:sz="4" w:space="0"/>
            </w:tcBorders>
          </w:tcPr>
          <w:p>
            <w:pPr>
              <w:jc w:val="left"/>
              <w:rPr>
                <w:rFonts w:ascii="仿宋" w:hAnsi="仿宋" w:eastAsia="仿宋" w:cs="仿宋"/>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有效专利</w:t>
            </w:r>
          </w:p>
        </w:tc>
        <w:tc>
          <w:tcPr>
            <w:tcW w:w="5586" w:type="dxa"/>
            <w:gridSpan w:val="7"/>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发明专利项，实用新型专利项，外观专利项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参与国家、团体标准工作</w:t>
            </w:r>
          </w:p>
        </w:tc>
        <w:tc>
          <w:tcPr>
            <w:tcW w:w="5586" w:type="dxa"/>
            <w:gridSpan w:val="7"/>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国家标准</w:t>
            </w:r>
            <w:r>
              <w:rPr>
                <w:rFonts w:hint="eastAsia" w:ascii="仿宋" w:hAnsi="仿宋" w:eastAsia="仿宋" w:cs="仿宋"/>
                <w:bCs/>
                <w:szCs w:val="21"/>
                <w:u w:val="single"/>
              </w:rPr>
              <w:t xml:space="preserve"> </w:t>
            </w:r>
            <w:r>
              <w:rPr>
                <w:rFonts w:hint="eastAsia" w:ascii="仿宋" w:hAnsi="仿宋" w:eastAsia="仿宋" w:cs="仿宋"/>
                <w:bCs/>
                <w:szCs w:val="21"/>
              </w:rPr>
              <w:t>项，其中主起草</w:t>
            </w:r>
            <w:r>
              <w:rPr>
                <w:rFonts w:hint="eastAsia" w:ascii="仿宋" w:hAnsi="仿宋" w:eastAsia="仿宋" w:cs="仿宋"/>
                <w:bCs/>
                <w:szCs w:val="21"/>
                <w:u w:val="single"/>
              </w:rPr>
              <w:t xml:space="preserve"> </w:t>
            </w:r>
            <w:r>
              <w:rPr>
                <w:rFonts w:hint="eastAsia" w:ascii="仿宋" w:hAnsi="仿宋" w:eastAsia="仿宋" w:cs="仿宋"/>
                <w:bCs/>
                <w:szCs w:val="21"/>
              </w:rPr>
              <w:t>项，参与</w:t>
            </w:r>
            <w:r>
              <w:rPr>
                <w:rFonts w:hint="eastAsia" w:ascii="仿宋" w:hAnsi="仿宋" w:eastAsia="仿宋" w:cs="仿宋"/>
                <w:bCs/>
                <w:szCs w:val="21"/>
                <w:u w:val="single"/>
              </w:rPr>
              <w:t xml:space="preserve"> </w:t>
            </w:r>
            <w:r>
              <w:rPr>
                <w:rFonts w:hint="eastAsia" w:ascii="仿宋" w:hAnsi="仿宋" w:eastAsia="仿宋" w:cs="仿宋"/>
                <w:bCs/>
                <w:szCs w:val="21"/>
              </w:rPr>
              <w:t>项</w:t>
            </w:r>
          </w:p>
          <w:p>
            <w:pPr>
              <w:jc w:val="left"/>
              <w:rPr>
                <w:rFonts w:ascii="仿宋" w:hAnsi="仿宋" w:eastAsia="仿宋" w:cs="仿宋"/>
                <w:bCs/>
                <w:szCs w:val="21"/>
              </w:rPr>
            </w:pPr>
            <w:r>
              <w:rPr>
                <w:rFonts w:hint="eastAsia" w:ascii="仿宋" w:hAnsi="仿宋" w:eastAsia="仿宋" w:cs="仿宋"/>
                <w:bCs/>
                <w:szCs w:val="21"/>
              </w:rPr>
              <w:t>团体标准</w:t>
            </w:r>
            <w:r>
              <w:rPr>
                <w:rFonts w:hint="eastAsia" w:ascii="仿宋" w:hAnsi="仿宋" w:eastAsia="仿宋" w:cs="仿宋"/>
                <w:bCs/>
                <w:szCs w:val="21"/>
                <w:u w:val="single"/>
              </w:rPr>
              <w:t xml:space="preserve"> </w:t>
            </w:r>
            <w:r>
              <w:rPr>
                <w:rFonts w:hint="eastAsia" w:ascii="仿宋" w:hAnsi="仿宋" w:eastAsia="仿宋" w:cs="仿宋"/>
                <w:bCs/>
                <w:szCs w:val="21"/>
              </w:rPr>
              <w:t>项，其中主起草</w:t>
            </w:r>
            <w:r>
              <w:rPr>
                <w:rFonts w:hint="eastAsia" w:ascii="仿宋" w:hAnsi="仿宋" w:eastAsia="仿宋" w:cs="仿宋"/>
                <w:bCs/>
                <w:szCs w:val="21"/>
                <w:u w:val="single"/>
              </w:rPr>
              <w:t xml:space="preserve"> </w:t>
            </w:r>
            <w:r>
              <w:rPr>
                <w:rFonts w:hint="eastAsia" w:ascii="仿宋" w:hAnsi="仿宋" w:eastAsia="仿宋" w:cs="仿宋"/>
                <w:bCs/>
                <w:szCs w:val="21"/>
              </w:rPr>
              <w:t>项，参与</w:t>
            </w:r>
            <w:r>
              <w:rPr>
                <w:rFonts w:hint="eastAsia" w:ascii="仿宋" w:hAnsi="仿宋" w:eastAsia="仿宋" w:cs="仿宋"/>
                <w:bCs/>
                <w:szCs w:val="21"/>
                <w:u w:val="single"/>
              </w:rPr>
              <w:t xml:space="preserve"> </w:t>
            </w:r>
            <w:r>
              <w:rPr>
                <w:rFonts w:hint="eastAsia" w:ascii="仿宋" w:hAnsi="仿宋" w:eastAsia="仿宋" w:cs="仿宋"/>
                <w:bCs/>
                <w:szCs w:val="21"/>
              </w:rPr>
              <w:t>项</w:t>
            </w:r>
          </w:p>
          <w:p>
            <w:pPr>
              <w:jc w:val="left"/>
              <w:rPr>
                <w:rFonts w:ascii="仿宋" w:hAnsi="仿宋" w:eastAsia="仿宋" w:cs="仿宋"/>
                <w:bCs/>
                <w:szCs w:val="21"/>
              </w:rPr>
            </w:pPr>
            <w:r>
              <w:rPr>
                <w:rFonts w:hint="eastAsia" w:ascii="仿宋" w:hAnsi="仿宋" w:eastAsia="仿宋" w:cs="仿宋"/>
                <w:bCs/>
                <w:szCs w:val="21"/>
              </w:rPr>
              <w:t>行业标准</w:t>
            </w:r>
            <w:r>
              <w:rPr>
                <w:rFonts w:hint="eastAsia" w:ascii="仿宋" w:hAnsi="仿宋" w:eastAsia="仿宋" w:cs="仿宋"/>
                <w:bCs/>
                <w:szCs w:val="21"/>
                <w:u w:val="single"/>
              </w:rPr>
              <w:t xml:space="preserve"> </w:t>
            </w:r>
            <w:r>
              <w:rPr>
                <w:rFonts w:hint="eastAsia" w:ascii="仿宋" w:hAnsi="仿宋" w:eastAsia="仿宋" w:cs="仿宋"/>
                <w:bCs/>
                <w:szCs w:val="21"/>
              </w:rPr>
              <w:t>项，其中主起草</w:t>
            </w:r>
            <w:r>
              <w:rPr>
                <w:rFonts w:hint="eastAsia" w:ascii="仿宋" w:hAnsi="仿宋" w:eastAsia="仿宋" w:cs="仿宋"/>
                <w:bCs/>
                <w:szCs w:val="21"/>
                <w:u w:val="single"/>
              </w:rPr>
              <w:t xml:space="preserve"> </w:t>
            </w:r>
            <w:r>
              <w:rPr>
                <w:rFonts w:hint="eastAsia" w:ascii="仿宋" w:hAnsi="仿宋" w:eastAsia="仿宋" w:cs="仿宋"/>
                <w:bCs/>
                <w:szCs w:val="21"/>
              </w:rPr>
              <w:t>项，参与</w:t>
            </w:r>
            <w:r>
              <w:rPr>
                <w:rFonts w:hint="eastAsia" w:ascii="仿宋" w:hAnsi="仿宋" w:eastAsia="仿宋" w:cs="仿宋"/>
                <w:bCs/>
                <w:szCs w:val="21"/>
                <w:u w:val="single"/>
              </w:rPr>
              <w:t xml:space="preserve"> </w:t>
            </w:r>
            <w:r>
              <w:rPr>
                <w:rFonts w:hint="eastAsia" w:ascii="仿宋" w:hAnsi="仿宋" w:eastAsia="仿宋" w:cs="仿宋"/>
                <w:bCs/>
                <w:szCs w:val="21"/>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62" w:type="dxa"/>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参与课题或项目工作</w:t>
            </w:r>
          </w:p>
        </w:tc>
        <w:tc>
          <w:tcPr>
            <w:tcW w:w="5586" w:type="dxa"/>
            <w:gridSpan w:val="7"/>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参与国家级重大项目、课题等编制工作</w:t>
            </w:r>
            <w:r>
              <w:rPr>
                <w:rFonts w:hint="eastAsia" w:ascii="仿宋" w:hAnsi="仿宋" w:eastAsia="仿宋" w:cs="仿宋"/>
                <w:bCs/>
                <w:szCs w:val="21"/>
                <w:u w:val="single"/>
              </w:rPr>
              <w:t xml:space="preserve"> </w:t>
            </w:r>
            <w:r>
              <w:rPr>
                <w:rFonts w:hint="eastAsia" w:ascii="仿宋" w:hAnsi="仿宋" w:eastAsia="仿宋" w:cs="仿宋"/>
                <w:bCs/>
                <w:szCs w:val="21"/>
              </w:rPr>
              <w:t>项</w:t>
            </w:r>
          </w:p>
          <w:p>
            <w:pPr>
              <w:jc w:val="left"/>
              <w:rPr>
                <w:rFonts w:ascii="仿宋" w:hAnsi="仿宋" w:eastAsia="仿宋" w:cs="仿宋"/>
                <w:bCs/>
                <w:szCs w:val="21"/>
              </w:rPr>
            </w:pPr>
            <w:r>
              <w:rPr>
                <w:rFonts w:hint="eastAsia" w:ascii="仿宋" w:hAnsi="仿宋" w:eastAsia="仿宋" w:cs="仿宋"/>
                <w:bCs/>
                <w:szCs w:val="21"/>
              </w:rPr>
              <w:t>参与省级重大项目、课题等编制工作</w:t>
            </w:r>
            <w:r>
              <w:rPr>
                <w:rFonts w:hint="eastAsia" w:ascii="仿宋" w:hAnsi="仿宋" w:eastAsia="仿宋" w:cs="仿宋"/>
                <w:bCs/>
                <w:szCs w:val="21"/>
                <w:u w:val="single"/>
              </w:rPr>
              <w:t xml:space="preserve"> </w:t>
            </w:r>
            <w:r>
              <w:rPr>
                <w:rFonts w:hint="eastAsia" w:ascii="仿宋" w:hAnsi="仿宋" w:eastAsia="仿宋" w:cs="仿宋"/>
                <w:bCs/>
                <w:szCs w:val="21"/>
              </w:rPr>
              <w:t>项</w:t>
            </w:r>
          </w:p>
          <w:p>
            <w:pPr>
              <w:jc w:val="left"/>
              <w:rPr>
                <w:rFonts w:ascii="仿宋" w:hAnsi="仿宋" w:eastAsia="仿宋" w:cs="仿宋"/>
                <w:bCs/>
                <w:szCs w:val="21"/>
              </w:rPr>
            </w:pPr>
            <w:r>
              <w:rPr>
                <w:rFonts w:hint="eastAsia" w:ascii="仿宋" w:hAnsi="仿宋" w:eastAsia="仿宋" w:cs="仿宋"/>
                <w:bCs/>
                <w:szCs w:val="21"/>
              </w:rPr>
              <w:t>参与地区级重大项目、课题等编制工作</w:t>
            </w:r>
            <w:r>
              <w:rPr>
                <w:rFonts w:hint="eastAsia" w:ascii="仿宋" w:hAnsi="仿宋" w:eastAsia="仿宋" w:cs="仿宋"/>
                <w:bCs/>
                <w:szCs w:val="21"/>
                <w:u w:val="single"/>
              </w:rPr>
              <w:t xml:space="preserve"> </w:t>
            </w:r>
            <w:r>
              <w:rPr>
                <w:rFonts w:hint="eastAsia" w:ascii="仿宋" w:hAnsi="仿宋" w:eastAsia="仿宋" w:cs="仿宋"/>
                <w:bCs/>
                <w:szCs w:val="21"/>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90" w:hRule="atLeast"/>
          <w:jc w:val="center"/>
        </w:trPr>
        <w:tc>
          <w:tcPr>
            <w:tcW w:w="1474" w:type="dxa"/>
            <w:gridSpan w:val="2"/>
            <w:tcBorders>
              <w:right w:val="single" w:color="auto" w:sz="4" w:space="0"/>
            </w:tcBorders>
            <w:vAlign w:val="center"/>
          </w:tcPr>
          <w:p>
            <w:pPr>
              <w:autoSpaceDE w:val="0"/>
              <w:autoSpaceDN w:val="0"/>
              <w:jc w:val="center"/>
              <w:rPr>
                <w:rFonts w:ascii="仿宋" w:hAnsi="仿宋" w:eastAsia="仿宋" w:cs="仿宋"/>
                <w:color w:val="000000"/>
                <w:kern w:val="0"/>
                <w:szCs w:val="21"/>
                <w:u w:val="single"/>
              </w:rPr>
            </w:pPr>
            <w:r>
              <w:rPr>
                <w:rFonts w:hint="eastAsia" w:ascii="仿宋" w:hAnsi="仿宋" w:eastAsia="仿宋" w:cs="仿宋"/>
                <w:color w:val="000000"/>
                <w:kern w:val="0"/>
                <w:szCs w:val="21"/>
              </w:rPr>
              <w:t>声明</w:t>
            </w:r>
          </w:p>
        </w:tc>
        <w:tc>
          <w:tcPr>
            <w:tcW w:w="7374" w:type="dxa"/>
            <w:gridSpan w:val="9"/>
            <w:tcBorders>
              <w:left w:val="single" w:color="auto" w:sz="4" w:space="0"/>
            </w:tcBorders>
            <w:vAlign w:val="center"/>
          </w:tcPr>
          <w:p>
            <w:pPr>
              <w:autoSpaceDE w:val="0"/>
              <w:autoSpaceDN w:val="0"/>
              <w:ind w:left="406"/>
              <w:jc w:val="left"/>
              <w:rPr>
                <w:rFonts w:ascii="仿宋" w:hAnsi="仿宋" w:eastAsia="仿宋" w:cs="仿宋"/>
                <w:color w:val="000000"/>
                <w:kern w:val="0"/>
                <w:szCs w:val="21"/>
              </w:rPr>
            </w:pPr>
            <w:r>
              <w:rPr>
                <w:rFonts w:hint="eastAsia" w:ascii="仿宋" w:hAnsi="仿宋" w:eastAsia="仿宋" w:cs="仿宋"/>
                <w:color w:val="000000"/>
                <w:kern w:val="0"/>
                <w:szCs w:val="21"/>
              </w:rPr>
              <w:t>1.上述提供的数据真实有效；</w:t>
            </w:r>
          </w:p>
          <w:p>
            <w:pPr>
              <w:autoSpaceDE w:val="0"/>
              <w:autoSpaceDN w:val="0"/>
              <w:ind w:left="406"/>
              <w:jc w:val="left"/>
              <w:rPr>
                <w:rFonts w:ascii="仿宋" w:hAnsi="仿宋" w:eastAsia="仿宋" w:cs="仿宋"/>
                <w:kern w:val="0"/>
                <w:szCs w:val="21"/>
              </w:rPr>
            </w:pPr>
            <w:r>
              <w:rPr>
                <w:rFonts w:hint="eastAsia" w:ascii="仿宋" w:hAnsi="仿宋" w:eastAsia="仿宋" w:cs="仿宋"/>
                <w:color w:val="000000"/>
                <w:kern w:val="0"/>
                <w:szCs w:val="21"/>
              </w:rPr>
              <w:t>2.</w:t>
            </w:r>
            <w:r>
              <w:rPr>
                <w:rFonts w:hint="eastAsia" w:ascii="仿宋" w:hAnsi="仿宋" w:eastAsia="仿宋" w:cs="仿宋"/>
                <w:kern w:val="0"/>
                <w:szCs w:val="21"/>
              </w:rPr>
              <w:t>本企业近四年(20</w:t>
            </w:r>
            <w:r>
              <w:rPr>
                <w:rFonts w:ascii="仿宋" w:hAnsi="仿宋" w:eastAsia="仿宋" w:cs="仿宋"/>
                <w:kern w:val="0"/>
                <w:szCs w:val="21"/>
              </w:rPr>
              <w:t>20</w:t>
            </w:r>
            <w:r>
              <w:rPr>
                <w:rFonts w:hint="eastAsia" w:ascii="仿宋" w:hAnsi="仿宋" w:eastAsia="仿宋" w:cs="仿宋"/>
                <w:kern w:val="0"/>
                <w:szCs w:val="21"/>
              </w:rPr>
              <w:t>～202</w:t>
            </w:r>
            <w:r>
              <w:rPr>
                <w:rFonts w:ascii="仿宋" w:hAnsi="仿宋" w:eastAsia="仿宋" w:cs="仿宋"/>
                <w:kern w:val="0"/>
                <w:szCs w:val="21"/>
              </w:rPr>
              <w:t>3</w:t>
            </w:r>
            <w:r>
              <w:rPr>
                <w:rFonts w:hint="eastAsia" w:ascii="仿宋" w:hAnsi="仿宋" w:eastAsia="仿宋" w:cs="仿宋"/>
                <w:kern w:val="0"/>
                <w:szCs w:val="21"/>
              </w:rPr>
              <w:t>)内未发生过重大安全、环保、质量事故及违反有关法律的行为；</w:t>
            </w:r>
          </w:p>
          <w:p>
            <w:pPr>
              <w:pStyle w:val="18"/>
              <w:autoSpaceDE w:val="0"/>
              <w:autoSpaceDN w:val="0"/>
              <w:ind w:left="406" w:firstLine="0" w:firstLineChars="0"/>
              <w:jc w:val="left"/>
              <w:rPr>
                <w:rFonts w:ascii="仿宋" w:hAnsi="仿宋" w:eastAsia="仿宋" w:cs="仿宋"/>
                <w:color w:val="000000"/>
                <w:kern w:val="0"/>
                <w:szCs w:val="21"/>
              </w:rPr>
            </w:pPr>
            <w:r>
              <w:rPr>
                <w:rFonts w:hint="eastAsia" w:ascii="仿宋" w:hAnsi="仿宋" w:eastAsia="仿宋" w:cs="仿宋"/>
                <w:color w:val="000000"/>
                <w:kern w:val="0"/>
                <w:szCs w:val="21"/>
              </w:rPr>
              <w:t>3.本企业自愿参加本次评价活动。</w:t>
            </w:r>
          </w:p>
          <w:p>
            <w:pPr>
              <w:autoSpaceDE w:val="0"/>
              <w:autoSpaceDN w:val="0"/>
              <w:ind w:firstLine="4410" w:firstLineChars="2100"/>
              <w:jc w:val="left"/>
              <w:rPr>
                <w:rFonts w:ascii="仿宋" w:hAnsi="仿宋" w:eastAsia="仿宋" w:cs="仿宋"/>
                <w:color w:val="000000"/>
                <w:kern w:val="0"/>
                <w:szCs w:val="21"/>
              </w:rPr>
            </w:pPr>
          </w:p>
          <w:p>
            <w:pPr>
              <w:autoSpaceDE w:val="0"/>
              <w:autoSpaceDN w:val="0"/>
              <w:ind w:firstLine="5460" w:firstLineChars="2600"/>
              <w:jc w:val="left"/>
              <w:rPr>
                <w:rFonts w:ascii="仿宋" w:hAnsi="仿宋" w:eastAsia="仿宋" w:cs="仿宋"/>
                <w:color w:val="000000"/>
                <w:kern w:val="0"/>
                <w:szCs w:val="21"/>
              </w:rPr>
            </w:pPr>
            <w:r>
              <w:rPr>
                <w:rFonts w:hint="eastAsia" w:ascii="仿宋" w:hAnsi="仿宋" w:eastAsia="仿宋" w:cs="仿宋"/>
                <w:color w:val="000000"/>
                <w:kern w:val="0"/>
                <w:szCs w:val="21"/>
              </w:rPr>
              <w:t>（加盖单位公章）</w:t>
            </w:r>
          </w:p>
          <w:p>
            <w:pPr>
              <w:autoSpaceDE w:val="0"/>
              <w:autoSpaceDN w:val="0"/>
              <w:ind w:firstLine="105" w:firstLineChars="50"/>
              <w:jc w:val="left"/>
              <w:rPr>
                <w:rFonts w:ascii="仿宋" w:hAnsi="仿宋" w:eastAsia="仿宋" w:cs="仿宋"/>
                <w:color w:val="000000"/>
                <w:kern w:val="0"/>
                <w:szCs w:val="21"/>
              </w:rPr>
            </w:pPr>
          </w:p>
          <w:p>
            <w:pPr>
              <w:autoSpaceDE w:val="0"/>
              <w:autoSpaceDN w:val="0"/>
              <w:ind w:firstLine="105" w:firstLineChars="50"/>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企业法人签字：                     日期：        年      月      日  </w:t>
            </w:r>
          </w:p>
          <w:p>
            <w:pPr>
              <w:autoSpaceDE w:val="0"/>
              <w:autoSpaceDN w:val="0"/>
              <w:jc w:val="right"/>
              <w:rPr>
                <w:rFonts w:ascii="仿宋" w:hAnsi="仿宋" w:eastAsia="仿宋" w:cs="仿宋"/>
                <w:color w:val="000000"/>
                <w:kern w:val="0"/>
                <w:szCs w:val="21"/>
                <w:u w:val="single"/>
              </w:rPr>
            </w:pPr>
          </w:p>
        </w:tc>
      </w:tr>
    </w:tbl>
    <w:p>
      <w:pPr>
        <w:rPr>
          <w:rFonts w:ascii="仿宋" w:hAnsi="仿宋" w:eastAsia="仿宋" w:cs="仿宋"/>
          <w:color w:val="000000"/>
          <w:kern w:val="0"/>
          <w:szCs w:val="21"/>
        </w:rPr>
      </w:pPr>
      <w:r>
        <w:rPr>
          <w:rFonts w:hint="eastAsia" w:ascii="仿宋" w:hAnsi="仿宋" w:eastAsia="仿宋" w:cs="仿宋"/>
          <w:color w:val="000000"/>
          <w:kern w:val="0"/>
          <w:szCs w:val="21"/>
        </w:rPr>
        <w:t>填报说明：</w:t>
      </w:r>
    </w:p>
    <w:p>
      <w:pPr>
        <w:rPr>
          <w:rFonts w:ascii="仿宋" w:hAnsi="仿宋" w:eastAsia="仿宋" w:cs="仿宋"/>
          <w:color w:val="000000"/>
          <w:kern w:val="0"/>
          <w:szCs w:val="21"/>
        </w:rPr>
      </w:pPr>
      <w:r>
        <w:rPr>
          <w:rFonts w:hint="eastAsia" w:ascii="仿宋" w:hAnsi="仿宋" w:eastAsia="仿宋" w:cs="仿宋"/>
          <w:color w:val="000000"/>
          <w:kern w:val="0"/>
          <w:szCs w:val="21"/>
        </w:rPr>
        <w:t>1、“主要铸件类别”栏，可多选，请填写（1）汽车铸件；（2）农机及其内燃机铸件；（3）机床铸件；（4）矿冶重机（含冶金、矿山、钢锭模、轧辊、重型机械等）；（5）发电设备及电力铸件；（6）轨道交通铸件；（7）铸管及铸件；（8）水泵和阀门铸件；（9）纺织机械铸件；（10）建筑五金铸件；（11）家用器具铸件；（12）石化工程铸件；（13）通用机械铸件；（14）船舶铸件；（15）其他 ，若选择（15）其他，请详细填明产品名称及用途。</w:t>
      </w:r>
    </w:p>
    <w:p>
      <w:pPr>
        <w:rPr>
          <w:rFonts w:ascii="仿宋" w:hAnsi="仿宋" w:eastAsia="仿宋" w:cs="仿宋"/>
          <w:color w:val="000000"/>
          <w:kern w:val="0"/>
          <w:szCs w:val="21"/>
        </w:rPr>
      </w:pPr>
      <w:r>
        <w:rPr>
          <w:rFonts w:hint="eastAsia" w:ascii="仿宋" w:hAnsi="仿宋" w:eastAsia="仿宋" w:cs="仿宋"/>
          <w:color w:val="000000"/>
          <w:kern w:val="0"/>
          <w:szCs w:val="21"/>
        </w:rPr>
        <w:t>2、“主要铸件名称”栏，可多选，请填写主要铸件产品名称，如：缸体、缸盖、曲轴、轮毂、轧辊、钢锭模等。</w:t>
      </w:r>
    </w:p>
    <w:p>
      <w:pPr>
        <w:rPr>
          <w:rFonts w:ascii="仿宋" w:hAnsi="仿宋" w:eastAsia="仿宋" w:cs="仿宋"/>
          <w:color w:val="000000"/>
          <w:kern w:val="0"/>
          <w:szCs w:val="21"/>
        </w:rPr>
      </w:pPr>
      <w:r>
        <w:rPr>
          <w:rFonts w:hint="eastAsia" w:ascii="仿宋" w:hAnsi="仿宋" w:eastAsia="仿宋" w:cs="仿宋"/>
          <w:color w:val="000000"/>
          <w:kern w:val="0"/>
          <w:szCs w:val="21"/>
        </w:rPr>
        <w:t>3、“铸件材质”栏，可多选，请填写：（1）灰铸铁；（2）球墨铸铁；（3）可锻铸铁；（4）蠕墨铸铁；（5）碳钢及低合金钢；（6）合金钢；（7）铝合金；（8）镁合金；（9）锌合金；（10）铜合金；（11）钛合金；（12）其他，请详细填明产品材质。</w:t>
      </w:r>
    </w:p>
    <w:p>
      <w:pPr>
        <w:rPr>
          <w:rFonts w:ascii="仿宋" w:hAnsi="仿宋" w:eastAsia="仿宋" w:cs="仿宋"/>
          <w:color w:val="000000"/>
          <w:kern w:val="0"/>
          <w:szCs w:val="21"/>
        </w:rPr>
      </w:pPr>
      <w:r>
        <w:rPr>
          <w:rFonts w:hint="eastAsia" w:ascii="仿宋" w:hAnsi="仿宋" w:eastAsia="仿宋" w:cs="仿宋"/>
          <w:color w:val="000000"/>
          <w:kern w:val="0"/>
          <w:szCs w:val="21"/>
        </w:rPr>
        <w:t>4、“铸造工艺”栏，可多选，请填写（1）粘土砂湿型（手工）；（2）粘土砂湿型（机械化）；（3）粘土砂湿型（自动化）；（4）呋喃树脂砂；（5）碱性酚醛树脂；（6）覆膜砂；（7）CO</w:t>
      </w:r>
      <w:r>
        <w:rPr>
          <w:rFonts w:hint="eastAsia" w:ascii="仿宋" w:hAnsi="仿宋" w:eastAsia="仿宋" w:cs="仿宋"/>
          <w:color w:val="000000"/>
          <w:kern w:val="0"/>
          <w:szCs w:val="21"/>
          <w:vertAlign w:val="subscript"/>
        </w:rPr>
        <w:t>2</w:t>
      </w:r>
      <w:r>
        <w:rPr>
          <w:rFonts w:hint="eastAsia" w:ascii="仿宋" w:hAnsi="仿宋" w:eastAsia="仿宋" w:cs="仿宋"/>
          <w:color w:val="000000"/>
          <w:kern w:val="0"/>
          <w:szCs w:val="21"/>
        </w:rPr>
        <w:t>硬化水玻璃砂型；（8）酯硬化水玻璃砂型；（9）消失模；（10）实型；（11）V法；（12）压铸；（13）低压铸造；（14）金属型重力铸造；（15）挤压铸造；（16）硅溶胶精铸；（17）水玻璃精铸；（18）硅溶胶-水玻璃复合型壳；（19）石膏型精铸；（20）石墨型精铸；（21）陶瓷型精铸；（22）离心铸造；（23）连续铸造；（24）铁模覆砂；（25）组芯造型；（26）壳型；（27）快速成型；（28）其他，请详细填写工艺方法。</w:t>
      </w:r>
    </w:p>
    <w:p>
      <w:pPr>
        <w:rPr>
          <w:rFonts w:ascii="黑体" w:hAnsi="黑体" w:eastAsia="黑体"/>
          <w:sz w:val="32"/>
          <w:szCs w:val="32"/>
        </w:rPr>
      </w:pPr>
      <w:r>
        <w:rPr>
          <w:rFonts w:hint="eastAsia" w:ascii="黑体" w:hAnsi="黑体" w:eastAsia="黑体"/>
          <w:sz w:val="32"/>
          <w:szCs w:val="32"/>
        </w:rPr>
        <w:br w:type="page"/>
      </w:r>
    </w:p>
    <w:p>
      <w:pPr>
        <w:jc w:val="left"/>
        <w:rPr>
          <w:rFonts w:ascii="黑体" w:hAnsi="黑体" w:eastAsia="黑体"/>
          <w:sz w:val="32"/>
          <w:szCs w:val="32"/>
        </w:rPr>
      </w:pPr>
      <w:r>
        <w:rPr>
          <w:rFonts w:hint="eastAsia" w:ascii="黑体" w:hAnsi="黑体" w:eastAsia="黑体"/>
          <w:sz w:val="32"/>
          <w:szCs w:val="32"/>
        </w:rPr>
        <w:t>表2</w:t>
      </w:r>
    </w:p>
    <w:p>
      <w:pPr>
        <w:snapToGrid w:val="0"/>
        <w:spacing w:line="360" w:lineRule="auto"/>
        <w:jc w:val="center"/>
        <w:rPr>
          <w:rFonts w:ascii="方正小标宋简体" w:hAnsi="仿宋" w:eastAsia="方正小标宋简体"/>
          <w:bCs/>
          <w:sz w:val="32"/>
          <w:szCs w:val="32"/>
        </w:rPr>
      </w:pPr>
      <w:r>
        <w:rPr>
          <w:rFonts w:hint="eastAsia" w:ascii="方正小标宋简体" w:hAnsi="仿宋" w:eastAsia="方正小标宋简体"/>
          <w:bCs/>
          <w:sz w:val="32"/>
          <w:szCs w:val="32"/>
        </w:rPr>
        <w:t>铸造企业智能制造能力成熟度对标评价申报表</w:t>
      </w:r>
    </w:p>
    <w:tbl>
      <w:tblPr>
        <w:tblStyle w:val="11"/>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13"/>
        <w:gridCol w:w="498"/>
        <w:gridCol w:w="528"/>
        <w:gridCol w:w="6583"/>
        <w:gridCol w:w="6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46" w:type="pct"/>
            <w:tcBorders>
              <w:top w:val="single" w:color="auto" w:sz="8" w:space="0"/>
              <w:bottom w:val="single" w:color="auto" w:sz="8" w:space="0"/>
            </w:tcBorders>
            <w:shd w:val="clear" w:color="auto" w:fill="auto"/>
            <w:vAlign w:val="center"/>
          </w:tcPr>
          <w:p>
            <w:pPr>
              <w:pStyle w:val="22"/>
              <w:rPr>
                <w:szCs w:val="18"/>
              </w:rPr>
            </w:pPr>
            <w:r>
              <w:rPr>
                <w:rFonts w:hint="eastAsia" w:ascii="Times New Roman"/>
                <w:szCs w:val="18"/>
              </w:rPr>
              <w:t>能力要素</w:t>
            </w:r>
          </w:p>
        </w:tc>
        <w:tc>
          <w:tcPr>
            <w:tcW w:w="281" w:type="pct"/>
            <w:tcBorders>
              <w:top w:val="single" w:color="auto" w:sz="8" w:space="0"/>
              <w:bottom w:val="single" w:color="auto" w:sz="8" w:space="0"/>
            </w:tcBorders>
            <w:shd w:val="clear" w:color="auto" w:fill="auto"/>
            <w:vAlign w:val="center"/>
          </w:tcPr>
          <w:p>
            <w:pPr>
              <w:pStyle w:val="22"/>
              <w:rPr>
                <w:szCs w:val="18"/>
              </w:rPr>
            </w:pPr>
            <w:r>
              <w:rPr>
                <w:rFonts w:hint="eastAsia" w:ascii="Times New Roman"/>
                <w:szCs w:val="18"/>
              </w:rPr>
              <w:t>能力域</w:t>
            </w:r>
          </w:p>
        </w:tc>
        <w:tc>
          <w:tcPr>
            <w:tcW w:w="298" w:type="pct"/>
            <w:tcBorders>
              <w:top w:val="single" w:color="auto" w:sz="8" w:space="0"/>
              <w:bottom w:val="single" w:color="auto" w:sz="8" w:space="0"/>
            </w:tcBorders>
            <w:shd w:val="clear" w:color="auto" w:fill="auto"/>
            <w:vAlign w:val="center"/>
          </w:tcPr>
          <w:p>
            <w:pPr>
              <w:pStyle w:val="22"/>
              <w:rPr>
                <w:szCs w:val="18"/>
              </w:rPr>
            </w:pPr>
            <w:r>
              <w:rPr>
                <w:rFonts w:hint="eastAsia" w:ascii="Times New Roman"/>
                <w:szCs w:val="18"/>
              </w:rPr>
              <w:t>能力子域</w:t>
            </w:r>
          </w:p>
        </w:tc>
        <w:tc>
          <w:tcPr>
            <w:tcW w:w="3714" w:type="pct"/>
            <w:tcBorders>
              <w:top w:val="single" w:color="auto" w:sz="8" w:space="0"/>
              <w:bottom w:val="single" w:color="auto" w:sz="8" w:space="0"/>
            </w:tcBorders>
            <w:shd w:val="clear" w:color="auto" w:fill="auto"/>
            <w:vAlign w:val="center"/>
          </w:tcPr>
          <w:p>
            <w:pPr>
              <w:pStyle w:val="22"/>
              <w:rPr>
                <w:szCs w:val="18"/>
              </w:rPr>
            </w:pPr>
            <w:r>
              <w:rPr>
                <w:rFonts w:hint="eastAsia" w:ascii="Times New Roman"/>
                <w:szCs w:val="18"/>
              </w:rPr>
              <w:t>具体描述</w:t>
            </w:r>
          </w:p>
        </w:tc>
        <w:tc>
          <w:tcPr>
            <w:tcW w:w="360" w:type="pct"/>
            <w:tcBorders>
              <w:top w:val="single" w:color="auto" w:sz="8" w:space="0"/>
              <w:bottom w:val="single" w:color="auto" w:sz="8" w:space="0"/>
            </w:tcBorders>
            <w:shd w:val="clear" w:color="auto" w:fill="auto"/>
            <w:vAlign w:val="center"/>
          </w:tcPr>
          <w:p>
            <w:pPr>
              <w:pStyle w:val="22"/>
              <w:rPr>
                <w:rFonts w:ascii="Times New Roman"/>
                <w:szCs w:val="18"/>
              </w:rPr>
            </w:pPr>
            <w:r>
              <w:rPr>
                <w:rFonts w:hint="eastAsia" w:ascii="Times New Roman"/>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restart"/>
            <w:tcBorders>
              <w:top w:val="single" w:color="auto" w:sz="8" w:space="0"/>
            </w:tcBorders>
            <w:shd w:val="clear" w:color="auto" w:fill="auto"/>
            <w:vAlign w:val="center"/>
          </w:tcPr>
          <w:p>
            <w:pPr>
              <w:pStyle w:val="22"/>
              <w:rPr>
                <w:szCs w:val="18"/>
              </w:rPr>
            </w:pPr>
            <w:r>
              <w:rPr>
                <w:rFonts w:hint="eastAsia" w:ascii="Times New Roman"/>
                <w:szCs w:val="18"/>
              </w:rPr>
              <w:t>人员</w:t>
            </w:r>
          </w:p>
        </w:tc>
        <w:tc>
          <w:tcPr>
            <w:tcW w:w="281" w:type="pct"/>
            <w:tcBorders>
              <w:top w:val="single" w:color="auto" w:sz="8" w:space="0"/>
            </w:tcBorders>
            <w:shd w:val="clear" w:color="auto" w:fill="auto"/>
            <w:vAlign w:val="center"/>
          </w:tcPr>
          <w:p>
            <w:pPr>
              <w:pStyle w:val="22"/>
              <w:rPr>
                <w:szCs w:val="18"/>
              </w:rPr>
            </w:pPr>
            <w:r>
              <w:rPr>
                <w:rFonts w:hint="eastAsia" w:ascii="Times New Roman"/>
                <w:szCs w:val="18"/>
              </w:rPr>
              <w:t>组织战略</w:t>
            </w:r>
          </w:p>
        </w:tc>
        <w:tc>
          <w:tcPr>
            <w:tcW w:w="298" w:type="pct"/>
            <w:tcBorders>
              <w:top w:val="single" w:color="auto" w:sz="8" w:space="0"/>
            </w:tcBorders>
            <w:shd w:val="clear" w:color="auto" w:fill="auto"/>
            <w:vAlign w:val="center"/>
          </w:tcPr>
          <w:p>
            <w:pPr>
              <w:pStyle w:val="22"/>
              <w:rPr>
                <w:szCs w:val="18"/>
              </w:rPr>
            </w:pPr>
            <w:r>
              <w:rPr>
                <w:rFonts w:hint="eastAsia" w:ascii="Times New Roman"/>
                <w:szCs w:val="18"/>
              </w:rPr>
              <w:t>组织战略</w:t>
            </w:r>
          </w:p>
        </w:tc>
        <w:tc>
          <w:tcPr>
            <w:tcW w:w="3714" w:type="pct"/>
            <w:tcBorders>
              <w:top w:val="single" w:color="auto" w:sz="8" w:space="0"/>
            </w:tcBorders>
            <w:shd w:val="clear" w:color="auto" w:fill="auto"/>
            <w:vAlign w:val="center"/>
          </w:tcPr>
          <w:p>
            <w:pPr>
              <w:jc w:val="left"/>
              <w:rPr>
                <w:rFonts w:ascii="仿宋" w:hAnsi="仿宋" w:eastAsia="仿宋" w:cs="仿宋"/>
                <w:sz w:val="18"/>
                <w:szCs w:val="18"/>
              </w:rPr>
            </w:pPr>
            <w:r>
              <w:rPr>
                <w:rFonts w:hint="eastAsia" w:ascii="仿宋" w:hAnsi="仿宋" w:eastAsia="仿宋" w:cs="仿宋"/>
                <w:sz w:val="18"/>
                <w:szCs w:val="18"/>
              </w:rPr>
              <w:sym w:font="Wingdings" w:char="00A8"/>
            </w:r>
            <w:r>
              <w:rPr>
                <w:rFonts w:hint="eastAsia" w:ascii="仿宋" w:hAnsi="仿宋" w:eastAsia="仿宋" w:cs="仿宋"/>
                <w:sz w:val="18"/>
                <w:szCs w:val="18"/>
              </w:rPr>
              <w:t>制定了智能制造的发展规划；</w:t>
            </w:r>
          </w:p>
          <w:p>
            <w:pPr>
              <w:jc w:val="left"/>
              <w:rPr>
                <w:rFonts w:ascii="仿宋" w:hAnsi="仿宋" w:eastAsia="仿宋" w:cs="仿宋"/>
                <w:sz w:val="18"/>
                <w:szCs w:val="18"/>
              </w:rPr>
            </w:pPr>
            <w:r>
              <w:rPr>
                <w:rFonts w:hint="eastAsia" w:ascii="仿宋" w:hAnsi="仿宋" w:eastAsia="仿宋" w:cs="仿宋"/>
                <w:sz w:val="18"/>
                <w:szCs w:val="18"/>
              </w:rPr>
              <w:sym w:font="Wingdings" w:char="00A8"/>
            </w:r>
            <w:r>
              <w:rPr>
                <w:rFonts w:hint="eastAsia" w:ascii="仿宋" w:hAnsi="仿宋" w:eastAsia="仿宋" w:cs="仿宋"/>
                <w:sz w:val="18"/>
                <w:szCs w:val="18"/>
              </w:rPr>
              <w:t>对发展智能制造所需的资源进行投资</w:t>
            </w:r>
          </w:p>
          <w:p>
            <w:pPr>
              <w:jc w:val="left"/>
              <w:rPr>
                <w:rFonts w:ascii="仿宋" w:hAnsi="仿宋" w:eastAsia="仿宋" w:cs="仿宋"/>
                <w:sz w:val="18"/>
                <w:szCs w:val="18"/>
              </w:rPr>
            </w:pPr>
            <w:r>
              <w:rPr>
                <w:rFonts w:hint="eastAsia" w:ascii="仿宋" w:hAnsi="仿宋" w:eastAsia="仿宋" w:cs="仿宋"/>
                <w:sz w:val="18"/>
                <w:szCs w:val="18"/>
              </w:rPr>
              <w:sym w:font="Wingdings" w:char="00A8"/>
            </w:r>
            <w:r>
              <w:rPr>
                <w:rFonts w:hint="eastAsia" w:ascii="仿宋" w:hAnsi="仿宋" w:eastAsia="仿宋" w:cs="仿宋"/>
                <w:sz w:val="18"/>
                <w:szCs w:val="18"/>
              </w:rPr>
              <w:t>制定了智能制造的发展战略，对智能制造的组织结构、技术架构、资源投入、人员配备等进行规划，形成具体的实施计划；</w:t>
            </w:r>
          </w:p>
          <w:p>
            <w:pPr>
              <w:jc w:val="left"/>
              <w:rPr>
                <w:rFonts w:ascii="仿宋" w:hAnsi="仿宋" w:eastAsia="仿宋" w:cs="仿宋"/>
                <w:sz w:val="18"/>
                <w:szCs w:val="18"/>
              </w:rPr>
            </w:pPr>
            <w:r>
              <w:rPr>
                <w:rFonts w:hint="eastAsia" w:ascii="仿宋" w:hAnsi="仿宋" w:eastAsia="仿宋" w:cs="仿宋"/>
                <w:sz w:val="18"/>
                <w:szCs w:val="18"/>
              </w:rPr>
              <w:sym w:font="Wingdings" w:char="00A8"/>
            </w:r>
            <w:r>
              <w:rPr>
                <w:rFonts w:hint="eastAsia" w:ascii="仿宋" w:hAnsi="仿宋" w:eastAsia="仿宋" w:cs="仿宋"/>
                <w:sz w:val="18"/>
                <w:szCs w:val="18"/>
              </w:rPr>
              <w:t>明确了智能制造责任部门和各关键岗位的责任人，并且明确各岗位的岗位职责</w:t>
            </w:r>
          </w:p>
          <w:p>
            <w:pPr>
              <w:jc w:val="left"/>
              <w:rPr>
                <w:rFonts w:ascii="仿宋" w:hAnsi="仿宋" w:eastAsia="仿宋" w:cs="仿宋"/>
                <w:sz w:val="18"/>
                <w:szCs w:val="18"/>
              </w:rPr>
            </w:pPr>
            <w:r>
              <w:rPr>
                <w:rFonts w:hint="eastAsia" w:ascii="仿宋" w:hAnsi="仿宋" w:eastAsia="仿宋" w:cs="仿宋"/>
                <w:sz w:val="18"/>
                <w:szCs w:val="18"/>
              </w:rPr>
              <w:sym w:font="Wingdings" w:char="00A8"/>
            </w:r>
            <w:r>
              <w:rPr>
                <w:rFonts w:hint="eastAsia" w:ascii="仿宋" w:hAnsi="仿宋" w:eastAsia="仿宋" w:cs="仿宋"/>
                <w:sz w:val="18"/>
                <w:szCs w:val="18"/>
              </w:rPr>
              <w:t>对智能制造战略的执行情况进行监控与评测，并持续优化战略；</w:t>
            </w:r>
          </w:p>
          <w:p>
            <w:pPr>
              <w:jc w:val="left"/>
              <w:rPr>
                <w:rFonts w:ascii="仿宋" w:hAnsi="仿宋" w:eastAsia="仿宋" w:cs="仿宋"/>
                <w:sz w:val="18"/>
                <w:szCs w:val="18"/>
              </w:rPr>
            </w:pPr>
            <w:r>
              <w:rPr>
                <w:rFonts w:hint="eastAsia" w:ascii="仿宋" w:hAnsi="仿宋" w:eastAsia="仿宋" w:cs="仿宋"/>
                <w:sz w:val="18"/>
                <w:szCs w:val="18"/>
              </w:rPr>
              <w:sym w:font="Wingdings" w:char="00A8"/>
            </w:r>
            <w:r>
              <w:rPr>
                <w:rFonts w:hint="eastAsia" w:ascii="仿宋" w:hAnsi="仿宋" w:eastAsia="仿宋" w:cs="仿宋"/>
                <w:sz w:val="18"/>
                <w:szCs w:val="18"/>
              </w:rPr>
              <w:t>建立了优化岗位结构的机制，并定期对岗位结构和岗位职责的适宜性进行评估，基于评估结果实施岗位结构优化和岗位调整</w:t>
            </w:r>
          </w:p>
        </w:tc>
        <w:tc>
          <w:tcPr>
            <w:tcW w:w="360" w:type="pct"/>
            <w:tcBorders>
              <w:top w:val="single" w:color="auto" w:sz="8" w:space="0"/>
            </w:tcBorders>
            <w:shd w:val="clear" w:color="auto" w:fill="auto"/>
            <w:vAlign w:val="center"/>
          </w:tcPr>
          <w:p>
            <w:pPr>
              <w:pStyle w:val="22"/>
              <w:rPr>
                <w:rFonts w:ascii="Times New Roman"/>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shd w:val="clear" w:color="auto" w:fill="auto"/>
            <w:vAlign w:val="center"/>
          </w:tcPr>
          <w:p>
            <w:pPr>
              <w:pStyle w:val="22"/>
              <w:rPr>
                <w:szCs w:val="18"/>
              </w:rPr>
            </w:pPr>
            <w:r>
              <w:rPr>
                <w:rFonts w:hint="eastAsia" w:ascii="Times New Roman"/>
                <w:szCs w:val="18"/>
              </w:rPr>
              <w:t>人员技能</w:t>
            </w:r>
          </w:p>
        </w:tc>
        <w:tc>
          <w:tcPr>
            <w:tcW w:w="298" w:type="pct"/>
            <w:shd w:val="clear" w:color="auto" w:fill="auto"/>
            <w:vAlign w:val="center"/>
          </w:tcPr>
          <w:p>
            <w:pPr>
              <w:pStyle w:val="22"/>
              <w:rPr>
                <w:szCs w:val="18"/>
              </w:rPr>
            </w:pPr>
            <w:r>
              <w:rPr>
                <w:rFonts w:hint="eastAsia" w:ascii="Times New Roman"/>
                <w:szCs w:val="18"/>
              </w:rPr>
              <w:t>人员技能</w:t>
            </w:r>
          </w:p>
        </w:tc>
        <w:tc>
          <w:tcPr>
            <w:tcW w:w="3714" w:type="pct"/>
            <w:shd w:val="clear" w:color="auto" w:fill="auto"/>
            <w:vAlign w:val="center"/>
          </w:tcPr>
          <w:p>
            <w:pPr>
              <w:pStyle w:val="22"/>
              <w:jc w:val="left"/>
              <w:rPr>
                <w:rFonts w:ascii="仿宋" w:hAnsi="仿宋" w:eastAsia="仿宋" w:cs="仿宋"/>
                <w:kern w:val="2"/>
                <w:szCs w:val="18"/>
              </w:rPr>
            </w:pPr>
            <w:r>
              <w:rPr>
                <w:rFonts w:hint="eastAsia" w:ascii="仿宋" w:hAnsi="仿宋" w:eastAsia="仿宋" w:cs="仿宋"/>
                <w:szCs w:val="18"/>
              </w:rPr>
              <w:sym w:font="Wingdings" w:char="00A8"/>
            </w:r>
            <w:r>
              <w:rPr>
                <w:rFonts w:hint="eastAsia" w:ascii="仿宋" w:hAnsi="仿宋" w:eastAsia="仿宋" w:cs="仿宋"/>
                <w:kern w:val="2"/>
                <w:szCs w:val="18"/>
              </w:rPr>
              <w:t>充分意识到了智能制造的重要性；</w:t>
            </w:r>
          </w:p>
          <w:p>
            <w:pPr>
              <w:pStyle w:val="22"/>
              <w:jc w:val="left"/>
              <w:rPr>
                <w:rFonts w:ascii="仿宋" w:hAnsi="仿宋" w:eastAsia="仿宋" w:cs="仿宋"/>
                <w:kern w:val="2"/>
                <w:szCs w:val="18"/>
              </w:rPr>
            </w:pPr>
            <w:r>
              <w:rPr>
                <w:rFonts w:hint="eastAsia" w:ascii="仿宋" w:hAnsi="仿宋" w:eastAsia="仿宋" w:cs="仿宋"/>
                <w:szCs w:val="18"/>
              </w:rPr>
              <w:sym w:font="Wingdings" w:char="00A8"/>
            </w:r>
            <w:r>
              <w:rPr>
                <w:rFonts w:hint="eastAsia" w:ascii="仿宋" w:hAnsi="仿宋" w:eastAsia="仿宋" w:cs="仿宋"/>
                <w:kern w:val="2"/>
                <w:szCs w:val="18"/>
              </w:rPr>
              <w:t>培养或引进了智能制造发展需要的人员</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具有智能制造统筹规划能力的个人或团队；</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具有掌握IT基础、数据分析信息安全、系统运维、设备维护编程调试等技术的人员；</w:t>
            </w:r>
          </w:p>
          <w:p>
            <w:pPr>
              <w:pStyle w:val="22"/>
              <w:jc w:val="left"/>
              <w:rPr>
                <w:rFonts w:ascii="仿宋" w:hAnsi="仿宋" w:eastAsia="仿宋" w:cs="仿宋"/>
                <w:kern w:val="2"/>
                <w:szCs w:val="18"/>
              </w:rPr>
            </w:pPr>
            <w:r>
              <w:rPr>
                <w:rFonts w:hint="eastAsia" w:ascii="仿宋" w:hAnsi="仿宋" w:eastAsia="仿宋" w:cs="仿宋"/>
                <w:szCs w:val="18"/>
              </w:rPr>
              <w:sym w:font="Wingdings" w:char="00A8"/>
            </w:r>
            <w:r>
              <w:rPr>
                <w:rFonts w:hint="eastAsia" w:ascii="仿宋" w:hAnsi="仿宋" w:eastAsia="仿宋" w:cs="仿宋"/>
                <w:kern w:val="2"/>
                <w:szCs w:val="18"/>
              </w:rPr>
              <w:t>制定了适宜的智能制造人才培训体系、绩效考核机制等，及时有效地使员工获取新的技能和资格，以适应企业智能制造发展需要</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具有创新管理机制，持续开展智能制造相关技术创新和管理创新；</w:t>
            </w:r>
          </w:p>
          <w:p>
            <w:pPr>
              <w:pStyle w:val="22"/>
              <w:jc w:val="left"/>
              <w:rPr>
                <w:rFonts w:ascii="仿宋" w:hAnsi="仿宋" w:eastAsia="仿宋" w:cs="仿宋"/>
                <w:kern w:val="2"/>
                <w:szCs w:val="18"/>
              </w:rPr>
            </w:pPr>
            <w:r>
              <w:rPr>
                <w:rFonts w:hint="eastAsia" w:ascii="仿宋" w:hAnsi="仿宋" w:eastAsia="仿宋" w:cs="仿宋"/>
                <w:szCs w:val="18"/>
              </w:rPr>
              <w:sym w:font="Wingdings" w:char="00A8"/>
            </w:r>
            <w:r>
              <w:rPr>
                <w:rFonts w:hint="eastAsia" w:ascii="仿宋" w:hAnsi="仿宋" w:eastAsia="仿宋" w:cs="仿宋"/>
                <w:kern w:val="2"/>
                <w:szCs w:val="18"/>
              </w:rPr>
              <w:t>建立了知识管理体系，通过信息技术手段管理人员贡献的知识和经验，并结合智能制造需求，开展分析和应用</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建立了知识管理平台，实现人员知识、技能、经验的沉淀与传播；</w:t>
            </w:r>
          </w:p>
          <w:p>
            <w:pPr>
              <w:pStyle w:val="22"/>
              <w:jc w:val="left"/>
              <w:rPr>
                <w:bCs/>
                <w:szCs w:val="24"/>
              </w:rPr>
            </w:pPr>
            <w:r>
              <w:rPr>
                <w:rFonts w:hint="eastAsia" w:ascii="仿宋" w:hAnsi="仿宋" w:eastAsia="仿宋" w:cs="仿宋"/>
                <w:szCs w:val="18"/>
              </w:rPr>
              <w:sym w:font="Wingdings" w:char="00A8"/>
            </w:r>
            <w:r>
              <w:rPr>
                <w:rFonts w:hint="eastAsia" w:ascii="仿宋" w:hAnsi="仿宋" w:eastAsia="仿宋" w:cs="仿宋"/>
                <w:kern w:val="2"/>
                <w:szCs w:val="18"/>
              </w:rPr>
              <w:t>将人员知识、技能和经验进行数字化与软件化</w:t>
            </w:r>
          </w:p>
        </w:tc>
        <w:tc>
          <w:tcPr>
            <w:tcW w:w="360" w:type="pct"/>
            <w:shd w:val="clear" w:color="auto" w:fill="auto"/>
            <w:vAlign w:val="center"/>
          </w:tcPr>
          <w:p>
            <w:pPr>
              <w:pStyle w:val="22"/>
              <w:rPr>
                <w:rFonts w:ascii="Times New Roman"/>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restart"/>
            <w:shd w:val="clear" w:color="auto" w:fill="auto"/>
            <w:vAlign w:val="center"/>
          </w:tcPr>
          <w:p>
            <w:pPr>
              <w:pStyle w:val="22"/>
              <w:rPr>
                <w:szCs w:val="18"/>
              </w:rPr>
            </w:pPr>
            <w:r>
              <w:rPr>
                <w:rFonts w:hint="eastAsia" w:ascii="Times New Roman"/>
                <w:szCs w:val="18"/>
              </w:rPr>
              <w:t>技术</w:t>
            </w:r>
          </w:p>
        </w:tc>
        <w:tc>
          <w:tcPr>
            <w:tcW w:w="281" w:type="pct"/>
            <w:shd w:val="clear" w:color="auto" w:fill="auto"/>
            <w:vAlign w:val="center"/>
          </w:tcPr>
          <w:p>
            <w:pPr>
              <w:pStyle w:val="22"/>
              <w:rPr>
                <w:szCs w:val="18"/>
              </w:rPr>
            </w:pPr>
            <w:r>
              <w:rPr>
                <w:rFonts w:hint="eastAsia" w:ascii="Times New Roman"/>
                <w:szCs w:val="18"/>
              </w:rPr>
              <w:t>数据</w:t>
            </w:r>
          </w:p>
        </w:tc>
        <w:tc>
          <w:tcPr>
            <w:tcW w:w="298" w:type="pct"/>
            <w:shd w:val="clear" w:color="auto" w:fill="auto"/>
            <w:vAlign w:val="center"/>
          </w:tcPr>
          <w:p>
            <w:pPr>
              <w:pStyle w:val="22"/>
              <w:rPr>
                <w:szCs w:val="18"/>
              </w:rPr>
            </w:pPr>
            <w:r>
              <w:rPr>
                <w:rFonts w:hint="eastAsia" w:ascii="Times New Roman"/>
                <w:szCs w:val="18"/>
              </w:rPr>
              <w:t>数据</w:t>
            </w:r>
          </w:p>
        </w:tc>
        <w:tc>
          <w:tcPr>
            <w:tcW w:w="3714" w:type="pct"/>
            <w:shd w:val="clear" w:color="auto" w:fill="auto"/>
          </w:tcPr>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采集了业务活动所需的数据；</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基于经验开展数据分析</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基于二维码、条形码、RFID、PLC等,实现了数据采集；</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基于信息系统数据和人工经验开展数据分析，满足特定范围的数据使用需求；</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实现了数据及分析结果在部门内在线共享</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采用传感技术，实现制造关键环节数据的自动采集；</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建立了统一的数据编码、数据交换格式和规则等，整合数据资源，支持跨部门的业务协调；</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实现了数据及分析结果的跨部门在线共享</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建立了企业级的统一数据中心；</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建立了常用数据分析模型库,支持业务人员快速进行数据分析；</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采用大数据技术，应用各类型算法模型,预测制造环节状态,为制造活动提供优化建议和决策支持</w:t>
            </w:r>
          </w:p>
          <w:p>
            <w:pPr>
              <w:pStyle w:val="24"/>
              <w:ind w:left="180" w:hanging="180" w:hangingChars="100"/>
              <w:jc w:val="left"/>
              <w:rPr>
                <w:szCs w:val="24"/>
              </w:rPr>
            </w:pPr>
            <w:r>
              <w:rPr>
                <w:rFonts w:hint="eastAsia" w:ascii="仿宋" w:hAnsi="仿宋" w:eastAsia="仿宋" w:cs="仿宋"/>
                <w:sz w:val="18"/>
                <w:szCs w:val="18"/>
              </w:rPr>
              <w:sym w:font="Wingdings" w:char="00A8"/>
            </w:r>
            <w:r>
              <w:rPr>
                <w:rFonts w:hint="eastAsia" w:ascii="仿宋" w:hAnsi="仿宋" w:eastAsia="仿宋" w:cs="仿宋"/>
                <w:kern w:val="2"/>
                <w:sz w:val="18"/>
                <w:szCs w:val="18"/>
              </w:rPr>
              <w:t>对数据分析模型实时优化，实现基于模型的精准执行</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shd w:val="clear" w:color="auto" w:fill="auto"/>
            <w:vAlign w:val="center"/>
          </w:tcPr>
          <w:p>
            <w:pPr>
              <w:pStyle w:val="22"/>
              <w:rPr>
                <w:szCs w:val="18"/>
              </w:rPr>
            </w:pPr>
            <w:r>
              <w:rPr>
                <w:rFonts w:hint="eastAsia" w:ascii="Times New Roman"/>
                <w:szCs w:val="18"/>
              </w:rPr>
              <w:t>集成</w:t>
            </w:r>
          </w:p>
        </w:tc>
        <w:tc>
          <w:tcPr>
            <w:tcW w:w="298" w:type="pct"/>
            <w:shd w:val="clear" w:color="auto" w:fill="auto"/>
            <w:vAlign w:val="center"/>
          </w:tcPr>
          <w:p>
            <w:pPr>
              <w:pStyle w:val="22"/>
              <w:rPr>
                <w:szCs w:val="18"/>
              </w:rPr>
            </w:pPr>
            <w:r>
              <w:rPr>
                <w:rFonts w:hint="eastAsia" w:ascii="Times New Roman"/>
                <w:szCs w:val="18"/>
              </w:rPr>
              <w:t>集成</w:t>
            </w:r>
          </w:p>
        </w:tc>
        <w:tc>
          <w:tcPr>
            <w:tcW w:w="3714" w:type="pct"/>
            <w:shd w:val="clear" w:color="auto" w:fill="auto"/>
          </w:tcPr>
          <w:p>
            <w:pPr>
              <w:pStyle w:val="24"/>
              <w:ind w:left="180" w:hanging="180" w:hangingChars="100"/>
              <w:jc w:val="left"/>
              <w:rPr>
                <w:rFonts w:ascii="仿宋" w:hAnsi="仿宋" w:eastAsia="仿宋" w:cs="仿宋"/>
                <w:kern w:val="2"/>
                <w:sz w:val="18"/>
                <w:szCs w:val="18"/>
              </w:rPr>
            </w:pPr>
            <w:r>
              <w:rPr>
                <w:rFonts w:hint="eastAsia" w:ascii="仿宋" w:hAnsi="仿宋" w:eastAsia="仿宋" w:cs="仿宋"/>
                <w:kern w:val="2"/>
                <w:sz w:val="18"/>
                <w:szCs w:val="18"/>
              </w:rPr>
              <w:sym w:font="Wingdings" w:char="00A8"/>
            </w:r>
            <w:r>
              <w:rPr>
                <w:rFonts w:hint="eastAsia" w:ascii="仿宋" w:hAnsi="仿宋" w:eastAsia="仿宋" w:cs="仿宋"/>
                <w:kern w:val="2"/>
                <w:sz w:val="18"/>
                <w:szCs w:val="18"/>
              </w:rPr>
              <w:t>具有系统集成的意识</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kern w:val="2"/>
                <w:sz w:val="18"/>
                <w:szCs w:val="18"/>
              </w:rPr>
              <w:sym w:font="Wingdings" w:char="00A8"/>
            </w:r>
            <w:r>
              <w:rPr>
                <w:rFonts w:hint="eastAsia" w:ascii="仿宋" w:hAnsi="仿宋" w:eastAsia="仿宋" w:cs="仿宋"/>
                <w:kern w:val="2"/>
                <w:sz w:val="18"/>
                <w:szCs w:val="18"/>
              </w:rPr>
              <w:t>开展系统集成规划，包括网络、硬件、软件等内容；</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kern w:val="2"/>
                <w:sz w:val="18"/>
                <w:szCs w:val="18"/>
              </w:rPr>
              <w:sym w:font="Wingdings" w:char="00A8"/>
            </w:r>
            <w:r>
              <w:rPr>
                <w:rFonts w:hint="eastAsia" w:ascii="仿宋" w:hAnsi="仿宋" w:eastAsia="仿宋" w:cs="仿宋"/>
                <w:kern w:val="2"/>
                <w:sz w:val="18"/>
                <w:szCs w:val="18"/>
              </w:rPr>
              <w:t>实现了关键业务活动设备系统间的集成</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kern w:val="2"/>
                <w:sz w:val="18"/>
                <w:szCs w:val="18"/>
              </w:rPr>
              <w:sym w:font="Wingdings" w:char="00A8"/>
            </w:r>
            <w:r>
              <w:rPr>
                <w:rFonts w:hint="eastAsia" w:ascii="仿宋" w:hAnsi="仿宋" w:eastAsia="仿宋" w:cs="仿宋"/>
                <w:kern w:val="2"/>
                <w:sz w:val="18"/>
                <w:szCs w:val="18"/>
              </w:rPr>
              <w:t>形成了完整的系统集成架构；</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kern w:val="2"/>
                <w:sz w:val="18"/>
                <w:szCs w:val="18"/>
              </w:rPr>
              <w:sym w:font="Wingdings" w:char="00A8"/>
            </w:r>
            <w:r>
              <w:rPr>
                <w:rFonts w:hint="eastAsia" w:ascii="仿宋" w:hAnsi="仿宋" w:eastAsia="仿宋" w:cs="仿宋"/>
                <w:kern w:val="2"/>
                <w:sz w:val="18"/>
                <w:szCs w:val="18"/>
              </w:rPr>
              <w:t>具有设备、控制系统与软件系统间集成的技术规范包括异构协议的集成规范、工业软件的接口规范等；</w:t>
            </w:r>
          </w:p>
          <w:p>
            <w:pPr>
              <w:pStyle w:val="24"/>
              <w:ind w:left="180" w:hanging="180" w:hangingChars="100"/>
              <w:jc w:val="left"/>
              <w:rPr>
                <w:rFonts w:ascii="仿宋" w:hAnsi="仿宋" w:eastAsia="仿宋" w:cs="仿宋"/>
                <w:kern w:val="2"/>
                <w:sz w:val="18"/>
                <w:szCs w:val="18"/>
              </w:rPr>
            </w:pPr>
            <w:r>
              <w:rPr>
                <w:rFonts w:hint="eastAsia" w:ascii="仿宋" w:hAnsi="仿宋" w:eastAsia="仿宋" w:cs="仿宋"/>
                <w:kern w:val="2"/>
                <w:sz w:val="18"/>
                <w:szCs w:val="18"/>
              </w:rPr>
              <w:sym w:font="Wingdings" w:char="00A8"/>
            </w:r>
            <w:r>
              <w:rPr>
                <w:rFonts w:hint="eastAsia" w:ascii="仿宋" w:hAnsi="仿宋" w:eastAsia="仿宋" w:cs="仿宋"/>
                <w:kern w:val="2"/>
                <w:sz w:val="18"/>
                <w:szCs w:val="18"/>
              </w:rPr>
              <w:t>通过中间件工具、数据接口、集成平台等方式，实现跨业务活动设备、系统间的集成</w:t>
            </w:r>
          </w:p>
          <w:p>
            <w:pPr>
              <w:pStyle w:val="24"/>
              <w:ind w:left="180" w:hanging="180" w:hangingChars="100"/>
              <w:jc w:val="left"/>
              <w:rPr>
                <w:szCs w:val="24"/>
              </w:rPr>
            </w:pPr>
            <w:r>
              <w:rPr>
                <w:rFonts w:hint="eastAsia" w:ascii="仿宋" w:hAnsi="仿宋" w:eastAsia="仿宋" w:cs="仿宋"/>
                <w:kern w:val="2"/>
                <w:sz w:val="18"/>
                <w:szCs w:val="18"/>
              </w:rPr>
              <w:sym w:font="Wingdings" w:char="00A8"/>
            </w:r>
            <w:r>
              <w:rPr>
                <w:rFonts w:hint="eastAsia" w:ascii="仿宋" w:hAnsi="仿宋" w:eastAsia="仿宋" w:cs="仿宋"/>
                <w:kern w:val="2"/>
                <w:sz w:val="18"/>
                <w:szCs w:val="18"/>
              </w:rPr>
              <w:t>通过ESB和ODS等方式，实现全业务活动的集成</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shd w:val="clear" w:color="auto" w:fill="auto"/>
            <w:vAlign w:val="center"/>
          </w:tcPr>
          <w:p>
            <w:pPr>
              <w:pStyle w:val="22"/>
              <w:rPr>
                <w:szCs w:val="18"/>
              </w:rPr>
            </w:pPr>
            <w:r>
              <w:rPr>
                <w:rFonts w:hint="eastAsia" w:ascii="Times New Roman"/>
                <w:szCs w:val="18"/>
              </w:rPr>
              <w:t>信息安全</w:t>
            </w:r>
          </w:p>
        </w:tc>
        <w:tc>
          <w:tcPr>
            <w:tcW w:w="298" w:type="pct"/>
            <w:shd w:val="clear" w:color="auto" w:fill="auto"/>
            <w:vAlign w:val="center"/>
          </w:tcPr>
          <w:p>
            <w:pPr>
              <w:pStyle w:val="22"/>
              <w:rPr>
                <w:szCs w:val="18"/>
              </w:rPr>
            </w:pPr>
            <w:r>
              <w:rPr>
                <w:rFonts w:hint="eastAsia" w:ascii="Times New Roman"/>
                <w:szCs w:val="18"/>
              </w:rPr>
              <w:t>信息安全</w:t>
            </w:r>
          </w:p>
        </w:tc>
        <w:tc>
          <w:tcPr>
            <w:tcW w:w="3714" w:type="pct"/>
            <w:shd w:val="clear" w:color="auto" w:fill="auto"/>
          </w:tcPr>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制定了信息安全管理规范，并有效执行；</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成立了信息安全协调小组</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定期对关键工业控制系统开展信息安全风险评估；</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在工业主机上安装了正规的工业防病毒软件；</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在工业主机上进行安全配置和补丁管理</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工业控制网络边界具有边界防护能力；</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工业控制设备的远程访问应进行安全管理和加固</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工业网络部署了具有深度包解析功能的安全设备；</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自建了离线测试环境,对工业现场使用的设备进行安全性测试；</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在工业企业管理网中,采用了具备自学习、自优化功能的安全防护措施</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restart"/>
            <w:shd w:val="clear" w:color="auto" w:fill="auto"/>
            <w:vAlign w:val="center"/>
          </w:tcPr>
          <w:p>
            <w:pPr>
              <w:pStyle w:val="22"/>
              <w:rPr>
                <w:szCs w:val="18"/>
              </w:rPr>
            </w:pPr>
            <w:r>
              <w:rPr>
                <w:rFonts w:hint="eastAsia" w:ascii="Times New Roman"/>
                <w:szCs w:val="18"/>
              </w:rPr>
              <w:t>资源</w:t>
            </w:r>
          </w:p>
        </w:tc>
        <w:tc>
          <w:tcPr>
            <w:tcW w:w="281" w:type="pct"/>
            <w:shd w:val="clear" w:color="auto" w:fill="auto"/>
            <w:vAlign w:val="center"/>
          </w:tcPr>
          <w:p>
            <w:pPr>
              <w:pStyle w:val="22"/>
              <w:rPr>
                <w:szCs w:val="18"/>
              </w:rPr>
            </w:pPr>
            <w:r>
              <w:rPr>
                <w:rFonts w:hint="eastAsia" w:ascii="Times New Roman"/>
                <w:szCs w:val="18"/>
              </w:rPr>
              <w:t>装备</w:t>
            </w:r>
          </w:p>
        </w:tc>
        <w:tc>
          <w:tcPr>
            <w:tcW w:w="298" w:type="pct"/>
            <w:shd w:val="clear" w:color="auto" w:fill="auto"/>
            <w:vAlign w:val="center"/>
          </w:tcPr>
          <w:p>
            <w:pPr>
              <w:pStyle w:val="22"/>
              <w:rPr>
                <w:szCs w:val="18"/>
              </w:rPr>
            </w:pPr>
            <w:r>
              <w:rPr>
                <w:rFonts w:hint="eastAsia" w:ascii="Times New Roman"/>
                <w:szCs w:val="18"/>
              </w:rPr>
              <w:t>装备</w:t>
            </w:r>
          </w:p>
        </w:tc>
        <w:tc>
          <w:tcPr>
            <w:tcW w:w="3714" w:type="pct"/>
            <w:shd w:val="clear" w:color="auto" w:fill="auto"/>
          </w:tcPr>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在关键工序应用自动化设备；</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对关键工序设备形成技改方案</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在关键工序应用数字化设备；</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关键工序设备具有标准通信接口；包括RJ45、RS232、RS485等，并支持主流通信协议，包括OPC/OPC UA、 MODBUS、PRO-FIB US等；</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关键工序设备资料齐全</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关键工序设备实现联网；</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 xml:space="preserve">关键工序设备程序版本受控； </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 xml:space="preserve">关键工序设备的基本交互参数完备； </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关键工序设备满足本地与远程的人机交互、数据管理与通信的需要</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关键工序设备具有预测性维护功能；</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关键工序设备具有远程监测和远程诊断功能,可实现故障预警</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关键工序设备三维模型集成设备实时运行参数，实现设备与模型间的信息实时互联；</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关键工序设备、单元、产线等实现了基于工业数据分析的自适应、自优化、自控制等，并与其他系统进行数据分享</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shd w:val="clear" w:color="auto" w:fill="auto"/>
            <w:vAlign w:val="center"/>
          </w:tcPr>
          <w:p>
            <w:pPr>
              <w:pStyle w:val="22"/>
              <w:rPr>
                <w:szCs w:val="18"/>
              </w:rPr>
            </w:pPr>
            <w:r>
              <w:rPr>
                <w:rFonts w:hint="eastAsia" w:ascii="Times New Roman"/>
                <w:szCs w:val="18"/>
              </w:rPr>
              <w:t>网络</w:t>
            </w:r>
          </w:p>
        </w:tc>
        <w:tc>
          <w:tcPr>
            <w:tcW w:w="298" w:type="pct"/>
            <w:shd w:val="clear" w:color="auto" w:fill="auto"/>
            <w:vAlign w:val="center"/>
          </w:tcPr>
          <w:p>
            <w:pPr>
              <w:pStyle w:val="22"/>
              <w:rPr>
                <w:szCs w:val="18"/>
              </w:rPr>
            </w:pPr>
            <w:r>
              <w:rPr>
                <w:rFonts w:hint="eastAsia" w:ascii="Times New Roman"/>
                <w:szCs w:val="18"/>
              </w:rPr>
              <w:t>网络</w:t>
            </w:r>
          </w:p>
        </w:tc>
        <w:tc>
          <w:tcPr>
            <w:tcW w:w="3714" w:type="pct"/>
            <w:shd w:val="clear" w:color="auto" w:fill="auto"/>
          </w:tcPr>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实现了办公网络覆盖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实现了工业控制网络和生产网络覆盖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建立了工业控制网络、生产网络和办公网络的防护措施，包括不限于网络安全隔离、授权访问等手段；</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网络具有远程配置功能，具备带宽、规模、关键节点的扩展和升级功能；</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网络能够保障关键业务数据传输的完整性</w:t>
            </w:r>
          </w:p>
          <w:p>
            <w:pPr>
              <w:pStyle w:val="24"/>
              <w:ind w:left="180" w:hanging="180" w:hangingChars="100"/>
              <w:jc w:val="left"/>
              <w:rPr>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建立了分布式工业控制网络，基于SDN的敏捷网络，实现网络资源优化配置</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restart"/>
            <w:shd w:val="clear" w:color="auto" w:fill="auto"/>
            <w:vAlign w:val="center"/>
          </w:tcPr>
          <w:p>
            <w:pPr>
              <w:pStyle w:val="22"/>
              <w:rPr>
                <w:szCs w:val="18"/>
              </w:rPr>
            </w:pPr>
            <w:r>
              <w:rPr>
                <w:rFonts w:hint="eastAsia" w:ascii="Times New Roman"/>
                <w:szCs w:val="18"/>
              </w:rPr>
              <w:t>制造</w:t>
            </w:r>
          </w:p>
        </w:tc>
        <w:tc>
          <w:tcPr>
            <w:tcW w:w="281" w:type="pct"/>
            <w:vMerge w:val="restart"/>
            <w:shd w:val="clear" w:color="auto" w:fill="auto"/>
            <w:vAlign w:val="center"/>
          </w:tcPr>
          <w:p>
            <w:pPr>
              <w:pStyle w:val="22"/>
              <w:rPr>
                <w:szCs w:val="18"/>
              </w:rPr>
            </w:pPr>
            <w:r>
              <w:rPr>
                <w:rFonts w:hint="eastAsia" w:ascii="Times New Roman"/>
                <w:szCs w:val="18"/>
              </w:rPr>
              <w:t>设计</w:t>
            </w:r>
          </w:p>
        </w:tc>
        <w:tc>
          <w:tcPr>
            <w:tcW w:w="298" w:type="pct"/>
            <w:shd w:val="clear" w:color="auto" w:fill="auto"/>
            <w:vAlign w:val="center"/>
          </w:tcPr>
          <w:p>
            <w:pPr>
              <w:pStyle w:val="22"/>
              <w:rPr>
                <w:szCs w:val="18"/>
              </w:rPr>
            </w:pPr>
            <w:r>
              <w:rPr>
                <w:rFonts w:hint="eastAsia" w:ascii="Times New Roman"/>
                <w:szCs w:val="18"/>
              </w:rPr>
              <w:t>产品设计</w:t>
            </w:r>
          </w:p>
        </w:tc>
        <w:tc>
          <w:tcPr>
            <w:tcW w:w="3714" w:type="pct"/>
            <w:shd w:val="clear" w:color="auto" w:fill="auto"/>
            <w:vAlign w:val="center"/>
          </w:tcPr>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根据用户需求，依据铸件的可铸性向用户提供铸件结构设计的优化建议</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依据铸造工艺的技术特点进行产品分析，开展产品可铸性设计优化；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根据用户需求，基于计算机辅助三维建模，参与产品设计优化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基于产品需求，建立相关数据库，开展产品性能和可铸性的改进方案设计；</w:t>
            </w:r>
          </w:p>
          <w:p>
            <w:pPr>
              <w:pStyle w:val="24"/>
              <w:ind w:left="180" w:hanging="180" w:hangingChars="100"/>
              <w:jc w:val="left"/>
              <w:rPr>
                <w:szCs w:val="18"/>
              </w:rPr>
            </w:pPr>
            <w:r>
              <w:rPr>
                <w:rFonts w:hint="eastAsia" w:ascii="仿宋" w:hAnsi="仿宋" w:eastAsia="仿宋" w:cs="仿宋"/>
                <w:sz w:val="18"/>
                <w:szCs w:val="24"/>
              </w:rPr>
              <w:sym w:font="Wingdings" w:char="00A8"/>
            </w:r>
            <w:r>
              <w:rPr>
                <w:rFonts w:hint="eastAsia" w:ascii="仿宋" w:hAnsi="仿宋" w:eastAsia="仿宋" w:cs="仿宋"/>
                <w:sz w:val="18"/>
                <w:szCs w:val="24"/>
              </w:rPr>
              <w:t>基于三维模型实现对产品性能和可铸性等关键要素的设计仿真及选代优化</w:t>
            </w:r>
          </w:p>
        </w:tc>
        <w:tc>
          <w:tcPr>
            <w:tcW w:w="360" w:type="pct"/>
            <w:shd w:val="clear" w:color="auto" w:fill="auto"/>
            <w:vAlign w:val="center"/>
          </w:tcPr>
          <w:p>
            <w:pPr>
              <w:pStyle w:val="22"/>
              <w:rPr>
                <w:rFonts w:ascii="Times New Roman"/>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continue"/>
            <w:shd w:val="clear" w:color="auto" w:fill="auto"/>
            <w:vAlign w:val="center"/>
          </w:tcPr>
          <w:p>
            <w:pPr>
              <w:pStyle w:val="22"/>
              <w:rPr>
                <w:szCs w:val="18"/>
              </w:rPr>
            </w:pPr>
          </w:p>
        </w:tc>
        <w:tc>
          <w:tcPr>
            <w:tcW w:w="298" w:type="pct"/>
            <w:shd w:val="clear" w:color="auto" w:fill="auto"/>
            <w:vAlign w:val="center"/>
          </w:tcPr>
          <w:p>
            <w:pPr>
              <w:pStyle w:val="22"/>
              <w:rPr>
                <w:szCs w:val="18"/>
              </w:rPr>
            </w:pPr>
            <w:r>
              <w:rPr>
                <w:rFonts w:hint="eastAsia" w:ascii="Times New Roman"/>
                <w:szCs w:val="18"/>
              </w:rPr>
              <w:t>工艺设计</w:t>
            </w:r>
          </w:p>
        </w:tc>
        <w:tc>
          <w:tcPr>
            <w:tcW w:w="3714" w:type="pct"/>
            <w:shd w:val="clear" w:color="auto" w:fill="auto"/>
            <w:vAlign w:val="center"/>
          </w:tcPr>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基于设计人员的经验、铸件图纸或设计数据开展工艺设计和优化；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制定工艺设计过程相关规范，并有效执行；</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建立工艺文档或数据的管理机制，能够对工艺信息进行记录、查阅和执行</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基于计算机辅助开展工艺设计和优化；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基于典型铸件或铸件材质建立铸造工艺模板，实现关键铸造工艺设计信息的重用；</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实现铸造工艺不同环节之间的并行设计</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通过铸造工艺设计管理系统，实现工艺设计文档或数据的结构化管理、数据共享、版本管理、权限控制和电子审批；</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建立典型铸造工艺流程、参数、资源等关键要素的知识库，并能以结构化的形式展现、查询与更新；</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基于铸造工艺的数字化模型开展充型、凝固等关键过程的仿真分析及迭代优化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实现三维铸造工艺设计和优化，并将完整的工艺信息集成于三维工艺模型中；</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基于铸造工艺知识库的集成应用，实现工艺流程、工序内容、工艺资源等知识的实时调用，为工艺方法选择、工艺方案策划和铸造工艺设计提供决策支持；</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基于铸造工艺设计、生产、检验等系统的集成，通过工艺信息下发、执行、反馈、监控的闭环管控，实现工艺设计与制造协同</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基于铸造工艺知识库的集成应用，辅助工艺优化；</w:t>
            </w:r>
          </w:p>
          <w:p>
            <w:pPr>
              <w:pStyle w:val="24"/>
              <w:ind w:left="180" w:hanging="180" w:hangingChars="100"/>
              <w:jc w:val="left"/>
              <w:rPr>
                <w:rFonts w:ascii="仿宋" w:hAnsi="仿宋" w:eastAsia="仿宋" w:cs="仿宋"/>
                <w:sz w:val="18"/>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基于铸造工艺、生产、检验、运维等数据分析，构建实时优化模型，实现工艺设计动态优化；</w:t>
            </w:r>
          </w:p>
          <w:p>
            <w:pPr>
              <w:pStyle w:val="24"/>
              <w:ind w:left="180" w:hanging="180" w:hangingChars="100"/>
              <w:jc w:val="left"/>
              <w:rPr>
                <w:szCs w:val="24"/>
              </w:rPr>
            </w:pPr>
            <w:r>
              <w:rPr>
                <w:rFonts w:hint="eastAsia" w:ascii="仿宋" w:hAnsi="仿宋" w:eastAsia="仿宋" w:cs="仿宋"/>
                <w:sz w:val="18"/>
                <w:szCs w:val="24"/>
              </w:rPr>
              <w:sym w:font="Wingdings" w:char="00A8"/>
            </w:r>
            <w:r>
              <w:rPr>
                <w:rFonts w:hint="eastAsia" w:ascii="仿宋" w:hAnsi="仿宋" w:eastAsia="仿宋" w:cs="仿宋"/>
                <w:sz w:val="18"/>
                <w:szCs w:val="24"/>
              </w:rPr>
              <w:t>建立工艺设计云平台，实现模具、铸造、加工等跨区域、跨平台的协同工艺设计</w:t>
            </w:r>
          </w:p>
        </w:tc>
        <w:tc>
          <w:tcPr>
            <w:tcW w:w="360" w:type="pct"/>
            <w:shd w:val="clear" w:color="auto" w:fill="auto"/>
            <w:vAlign w:val="center"/>
          </w:tcPr>
          <w:p>
            <w:pPr>
              <w:pStyle w:val="22"/>
              <w:rPr>
                <w:rFonts w:ascii="Times New Roman"/>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restart"/>
            <w:shd w:val="clear" w:color="auto" w:fill="auto"/>
            <w:vAlign w:val="center"/>
          </w:tcPr>
          <w:p>
            <w:pPr>
              <w:pStyle w:val="22"/>
              <w:rPr>
                <w:szCs w:val="18"/>
              </w:rPr>
            </w:pPr>
            <w:r>
              <w:rPr>
                <w:rFonts w:hint="eastAsia" w:ascii="Times New Roman"/>
                <w:szCs w:val="18"/>
              </w:rPr>
              <w:t>生产</w:t>
            </w:r>
          </w:p>
        </w:tc>
        <w:tc>
          <w:tcPr>
            <w:tcW w:w="298" w:type="pct"/>
            <w:shd w:val="clear" w:color="auto" w:fill="auto"/>
            <w:vAlign w:val="center"/>
          </w:tcPr>
          <w:p>
            <w:pPr>
              <w:pStyle w:val="22"/>
              <w:rPr>
                <w:szCs w:val="18"/>
              </w:rPr>
            </w:pPr>
            <w:r>
              <w:rPr>
                <w:rFonts w:hint="eastAsia" w:ascii="Times New Roman"/>
                <w:szCs w:val="18"/>
              </w:rPr>
              <w:t>采购</w:t>
            </w:r>
          </w:p>
        </w:tc>
        <w:tc>
          <w:tcPr>
            <w:tcW w:w="3714" w:type="pct"/>
            <w:shd w:val="clear" w:color="auto" w:fill="auto"/>
            <w:vAlign w:val="center"/>
          </w:tcPr>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根据产品、物料需求和库存等信息制定采购计划；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实现对采购订单、采购合同和供应商等信息的管理；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建立合格供应商机制，进行季度或年度评价，并有效执行</w:t>
            </w:r>
          </w:p>
          <w:p>
            <w:pPr>
              <w:pStyle w:val="22"/>
              <w:ind w:left="180" w:hanging="180" w:hangingChars="100"/>
              <w:jc w:val="left"/>
              <w:rPr>
                <w:rFonts w:ascii="仿宋" w:hAnsi="仿宋" w:eastAsia="仿宋" w:cs="仿宋"/>
              </w:rPr>
            </w:pPr>
            <w:r>
              <w:rPr>
                <w:rFonts w:hint="eastAsia" w:ascii="仿宋" w:hAnsi="仿宋" w:eastAsia="仿宋" w:cs="仿宋"/>
                <w:szCs w:val="24"/>
              </w:rPr>
              <w:sym w:font="Wingdings" w:char="00A8"/>
            </w:r>
            <w:r>
              <w:rPr>
                <w:rFonts w:hint="eastAsia" w:ascii="仿宋" w:hAnsi="仿宋" w:eastAsia="仿宋" w:cs="仿宋"/>
              </w:rPr>
              <w:t>通过信息系统制定物料需求计划，生成主要原辅材料采购计划，并管理和追踪采购执行全过程；</w:t>
            </w:r>
          </w:p>
          <w:p>
            <w:pPr>
              <w:pStyle w:val="22"/>
              <w:jc w:val="left"/>
              <w:rPr>
                <w:rFonts w:ascii="仿宋" w:hAnsi="仿宋" w:eastAsia="仿宋" w:cs="仿宋"/>
              </w:rPr>
            </w:pPr>
            <w:r>
              <w:rPr>
                <w:rFonts w:hint="eastAsia" w:ascii="仿宋" w:hAnsi="仿宋" w:eastAsia="仿宋" w:cs="仿宋"/>
                <w:szCs w:val="24"/>
              </w:rPr>
              <w:sym w:font="Wingdings" w:char="00A8"/>
            </w:r>
            <w:r>
              <w:rPr>
                <w:rFonts w:hint="eastAsia" w:ascii="仿宋" w:hAnsi="仿宋" w:eastAsia="仿宋" w:cs="仿宋"/>
              </w:rPr>
              <w:t>通过信息技术手段，实现供应商的寻源、评价和确认</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基于信息系统实现主要原辅材料价格跟踪（如历史采购价格、市场价格行情）；</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将采购、生产和仓储等信息系统集成，自动生成主要原辅材料采购计划，并实现出入库、库存和单据的同步；</w:t>
            </w:r>
          </w:p>
          <w:p>
            <w:pPr>
              <w:pStyle w:val="22"/>
              <w:jc w:val="left"/>
              <w:rPr>
                <w:rFonts w:ascii="仿宋" w:hAnsi="仿宋" w:eastAsia="仿宋" w:cs="仿宋"/>
              </w:rPr>
            </w:pPr>
            <w:r>
              <w:rPr>
                <w:rFonts w:hint="eastAsia" w:ascii="仿宋" w:hAnsi="仿宋" w:eastAsia="仿宋" w:cs="仿宋"/>
                <w:szCs w:val="24"/>
              </w:rPr>
              <w:sym w:font="Wingdings" w:char="00A8"/>
            </w:r>
            <w:r>
              <w:rPr>
                <w:rFonts w:hint="eastAsia" w:ascii="仿宋" w:hAnsi="仿宋" w:eastAsia="仿宋" w:cs="仿宋"/>
                <w:szCs w:val="18"/>
              </w:rPr>
              <w:t>通过信息系统开展供应商管理，对供应商的供货质量、技术、响应、交付、成本等要素进行量化评价</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通过与供应商的销售系统集成，实现协同供应链；</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基于采购执行、生产消耗、库存数量、价格研判等数据，建立采购模型，实时监控采购风险并及时预警，自动提供优化方案；</w:t>
            </w:r>
          </w:p>
          <w:p>
            <w:pPr>
              <w:pStyle w:val="22"/>
              <w:jc w:val="left"/>
              <w:rPr>
                <w:rFonts w:ascii="仿宋" w:hAnsi="仿宋" w:eastAsia="仿宋" w:cs="仿宋"/>
              </w:rPr>
            </w:pPr>
            <w:r>
              <w:rPr>
                <w:rFonts w:hint="eastAsia" w:ascii="仿宋" w:hAnsi="仿宋" w:eastAsia="仿宋" w:cs="仿宋"/>
                <w:szCs w:val="24"/>
              </w:rPr>
              <w:sym w:font="Wingdings" w:char="00A8"/>
            </w:r>
            <w:r>
              <w:rPr>
                <w:rFonts w:hint="eastAsia" w:ascii="仿宋" w:hAnsi="仿宋" w:eastAsia="仿宋" w:cs="仿宋"/>
                <w:szCs w:val="18"/>
              </w:rPr>
              <w:t>基于信息系统的数据，优化供应商评价模型</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实现了企业与供应商在设计、生产、质量、库存、物流的协同，并实时监控采购变化及风险，自动做出反馈和调整；</w:t>
            </w:r>
          </w:p>
          <w:p>
            <w:pPr>
              <w:pStyle w:val="22"/>
              <w:jc w:val="left"/>
            </w:pPr>
            <w:r>
              <w:rPr>
                <w:rFonts w:hint="eastAsia" w:ascii="仿宋" w:hAnsi="仿宋" w:eastAsia="仿宋" w:cs="仿宋"/>
                <w:szCs w:val="24"/>
              </w:rPr>
              <w:sym w:font="Wingdings" w:char="00A8"/>
            </w:r>
            <w:r>
              <w:rPr>
                <w:rFonts w:hint="eastAsia" w:ascii="仿宋" w:hAnsi="仿宋" w:eastAsia="仿宋" w:cs="仿宋"/>
                <w:szCs w:val="18"/>
              </w:rPr>
              <w:t>实现了采购模型和供应商评价模型的自优化</w:t>
            </w:r>
          </w:p>
        </w:tc>
        <w:tc>
          <w:tcPr>
            <w:tcW w:w="360" w:type="pct"/>
            <w:shd w:val="clear" w:color="auto" w:fill="auto"/>
            <w:vAlign w:val="center"/>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continue"/>
            <w:shd w:val="clear" w:color="auto" w:fill="auto"/>
            <w:vAlign w:val="center"/>
          </w:tcPr>
          <w:p>
            <w:pPr>
              <w:pStyle w:val="22"/>
              <w:rPr>
                <w:szCs w:val="18"/>
              </w:rPr>
            </w:pPr>
          </w:p>
        </w:tc>
        <w:tc>
          <w:tcPr>
            <w:tcW w:w="298" w:type="pct"/>
            <w:shd w:val="clear" w:color="auto" w:fill="auto"/>
            <w:vAlign w:val="center"/>
          </w:tcPr>
          <w:p>
            <w:pPr>
              <w:pStyle w:val="22"/>
              <w:rPr>
                <w:szCs w:val="18"/>
              </w:rPr>
            </w:pPr>
            <w:r>
              <w:rPr>
                <w:rFonts w:hint="eastAsia" w:ascii="Times New Roman"/>
                <w:szCs w:val="18"/>
              </w:rPr>
              <w:t>计划与调度</w:t>
            </w:r>
          </w:p>
        </w:tc>
        <w:tc>
          <w:tcPr>
            <w:tcW w:w="3714" w:type="pct"/>
            <w:shd w:val="clear" w:color="auto" w:fill="auto"/>
            <w:vAlign w:val="center"/>
          </w:tcPr>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基于销售订单和销售预测等信息，编制主生产计划；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基于主生产计划进行排产，形成详细生产作业计划并开展生产调度</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通过信息系统，依据生产数量、交期等约束条件自动生成主生产计划；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基于企业的安全库存、采购提前期、生产提前期等制约要素实现物料需求计划的运算；</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基于信息技术手段编制详细生产作业计划，基于人工经验开展生产调度</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基于安全库存、采购提前期、生产提前期、生产过程数据等要素开展生产能力运算，自动生成有限能力主生产计划；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基于约束理论的有限产能算法开展排产，自动生成详细生产作业计划；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实时监控各生产环节的投入和产出进度，系统实现异常情况的自动预警，并支持人工对异常的调整。</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基于先进排产调度的算法模型，系统自动给出满足多种约束条件的优化排产方案，形成优化的详细生产作业计划；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通过信息化系统实时监控铸造生产过程的各生产要素，实现对生产计划异常情况的决策支持和优化调度；</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建立了基于智能算法并融合人工智能动态调整的新一代高级计划与高级排产系统，提前处理生产过程中的波动和风险，实现动态实时的生产排产和调度；</w:t>
            </w:r>
          </w:p>
          <w:p>
            <w:pPr>
              <w:pStyle w:val="24"/>
              <w:ind w:left="180" w:hanging="180" w:hangingChars="100"/>
              <w:jc w:val="left"/>
              <w:rPr>
                <w:rFonts w:hAnsi="宋体" w:cs="宋体"/>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通过统一平台，基于产能模型、供应商评价模型等，自动生成产业链上下游企业的生产作业计划，并支持铸造企业间生产作业计划异常情况的统一调度</w:t>
            </w:r>
          </w:p>
        </w:tc>
        <w:tc>
          <w:tcPr>
            <w:tcW w:w="360" w:type="pct"/>
            <w:shd w:val="clear" w:color="auto" w:fill="auto"/>
            <w:vAlign w:val="center"/>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continue"/>
            <w:shd w:val="clear" w:color="auto" w:fill="auto"/>
            <w:vAlign w:val="center"/>
          </w:tcPr>
          <w:p>
            <w:pPr>
              <w:pStyle w:val="22"/>
              <w:rPr>
                <w:szCs w:val="18"/>
              </w:rPr>
            </w:pPr>
          </w:p>
        </w:tc>
        <w:tc>
          <w:tcPr>
            <w:tcW w:w="298" w:type="pct"/>
            <w:shd w:val="clear" w:color="auto" w:fill="auto"/>
            <w:vAlign w:val="center"/>
          </w:tcPr>
          <w:p>
            <w:pPr>
              <w:pStyle w:val="22"/>
              <w:rPr>
                <w:szCs w:val="18"/>
              </w:rPr>
            </w:pPr>
            <w:r>
              <w:rPr>
                <w:rFonts w:hint="eastAsia" w:ascii="Times New Roman"/>
                <w:szCs w:val="18"/>
              </w:rPr>
              <w:t>生产执行</w:t>
            </w:r>
          </w:p>
        </w:tc>
        <w:tc>
          <w:tcPr>
            <w:tcW w:w="3714" w:type="pct"/>
            <w:shd w:val="clear" w:color="auto" w:fill="auto"/>
            <w:vAlign w:val="center"/>
          </w:tcPr>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制定了生产作业相关文件，以书面方式下发到生产单元；</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记录了关键工序的生产过程信息</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通过信息技术手段，将铸造工艺文件下发到生产单元；</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基于信息技术手段，实现铸造生产过程关键物料、设备、人员等的数据采集，并上传到信息系统；</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在关键工序采用数字化质量检测设备，实现原辅材料、半成品、产成品的质量检测和分析；</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通过信息系统记录铸造生产过程信息，每个批次实现生产过程追溯</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根据生产作业计划，自动将铸造工艺文件下发到各生产单元；</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实现了对生产作业计划、生产资源、质量信息等关键数据的动态监测；</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通过数字化检验设备及系统的集成，实现关键工序质量在线检测和在线分析，自动对检验结果判断和报警，实现检测数据共享，并建立产品质量问题知识库；</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实现了生产过程中原辅材料、半成品、产成品等质量信息可追溯</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根据生产作业计划，自动将生产程序、工艺参数、设备运行参数或生产指令下发到数字化设备；</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构建模型实现生产作业数据的在线分析，优化生产工艺参数、设备参数、生产资源配置等；</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基于在线监测的质量数据，建立质量数据算法模型预测生产过程异常，并实时预警；</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实时采集原辅材料、生产过程、顾客反馈的质量信息，实现产品质量的精准追溯，并通过数据分析和知识库的运用，进行铸件产品的缺陷分析，提出改善方案</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实现铸造生产资源自组织、自优化，满足柔性化、个性化生产的需求；</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基于人工智能、大数据等技术，实现铸造生产过程非预见性异常的自动调整；</w:t>
            </w:r>
          </w:p>
          <w:p>
            <w:pPr>
              <w:pStyle w:val="24"/>
              <w:ind w:left="180" w:hanging="180" w:hangingChars="100"/>
              <w:jc w:val="left"/>
              <w:rPr>
                <w:rFonts w:hAnsi="宋体" w:cs="宋体"/>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基于模型实现铸造质量知识库自优化</w:t>
            </w:r>
          </w:p>
        </w:tc>
        <w:tc>
          <w:tcPr>
            <w:tcW w:w="360" w:type="pct"/>
            <w:shd w:val="clear" w:color="auto" w:fill="auto"/>
            <w:vAlign w:val="center"/>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continue"/>
            <w:shd w:val="clear" w:color="auto" w:fill="auto"/>
            <w:vAlign w:val="center"/>
          </w:tcPr>
          <w:p>
            <w:pPr>
              <w:pStyle w:val="22"/>
              <w:rPr>
                <w:szCs w:val="18"/>
              </w:rPr>
            </w:pPr>
          </w:p>
        </w:tc>
        <w:tc>
          <w:tcPr>
            <w:tcW w:w="298" w:type="pct"/>
            <w:shd w:val="clear" w:color="auto" w:fill="auto"/>
            <w:vAlign w:val="center"/>
          </w:tcPr>
          <w:p>
            <w:pPr>
              <w:pStyle w:val="22"/>
              <w:rPr>
                <w:szCs w:val="18"/>
              </w:rPr>
            </w:pPr>
            <w:r>
              <w:rPr>
                <w:rFonts w:hint="eastAsia" w:ascii="Times New Roman"/>
                <w:szCs w:val="18"/>
              </w:rPr>
              <w:t>设备管理</w:t>
            </w:r>
          </w:p>
        </w:tc>
        <w:tc>
          <w:tcPr>
            <w:tcW w:w="3714" w:type="pct"/>
            <w:shd w:val="clear" w:color="auto" w:fill="auto"/>
            <w:vAlign w:val="center"/>
          </w:tcPr>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通过人工或手持仪器开展设备点巡检，并依据人工经验实现检修维护过程管理和故障处理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通过信息技术手段制定设备维护计划，实现对设备设施维护保养的预警；</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通过设备状态检测结果，合理调整设备维护计划；</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采用设备管理系统实现设备点巡检、维护保养等状态和过程管理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实现关键设备的关键运行参数(温度、电压、电流等)数据的实时采集、故障分析和远程诊断；</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依据设备关键运行参数等，实现设备综合效率（OEE）统计；</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建立了设备故障知识库，并与设备管理系统集成；</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依据关键设备运行状态，自动生成检修工单，实现基于设备运行状态的检修维护闭环管理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基于设备运行模型和设备故障知识库，实现包含自动预警的预测性维护解决方案；</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基于设备综合效率的分析，自动驱动工艺优化和生产作业计划优化</w:t>
            </w:r>
          </w:p>
          <w:p>
            <w:pPr>
              <w:pStyle w:val="22"/>
              <w:jc w:val="left"/>
              <w:rPr>
                <w:rFonts w:hAnsi="宋体" w:eastAsia="仿宋" w:cs="宋体"/>
                <w:szCs w:val="18"/>
              </w:rPr>
            </w:pPr>
            <w:r>
              <w:rPr>
                <w:rFonts w:hint="eastAsia" w:ascii="仿宋" w:hAnsi="仿宋" w:eastAsia="仿宋" w:cs="仿宋"/>
                <w:szCs w:val="24"/>
              </w:rPr>
              <w:sym w:font="Wingdings" w:char="00A8"/>
            </w:r>
            <w:r>
              <w:rPr>
                <w:rFonts w:hint="eastAsia" w:ascii="仿宋" w:hAnsi="仿宋" w:eastAsia="仿宋" w:cs="仿宋"/>
                <w:szCs w:val="18"/>
              </w:rPr>
              <w:t>采用机器学习、神经网络等，实现设备运行模型的自学习、自优化。</w:t>
            </w:r>
          </w:p>
        </w:tc>
        <w:tc>
          <w:tcPr>
            <w:tcW w:w="360" w:type="pct"/>
            <w:shd w:val="clear" w:color="auto" w:fill="auto"/>
            <w:vAlign w:val="center"/>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continue"/>
            <w:shd w:val="clear" w:color="auto" w:fill="auto"/>
            <w:vAlign w:val="center"/>
          </w:tcPr>
          <w:p>
            <w:pPr>
              <w:pStyle w:val="22"/>
              <w:rPr>
                <w:szCs w:val="18"/>
              </w:rPr>
            </w:pPr>
          </w:p>
        </w:tc>
        <w:tc>
          <w:tcPr>
            <w:tcW w:w="298" w:type="pct"/>
            <w:shd w:val="clear" w:color="auto" w:fill="auto"/>
            <w:vAlign w:val="center"/>
          </w:tcPr>
          <w:p>
            <w:pPr>
              <w:pStyle w:val="22"/>
              <w:rPr>
                <w:szCs w:val="18"/>
              </w:rPr>
            </w:pPr>
            <w:r>
              <w:rPr>
                <w:rFonts w:hint="eastAsia" w:ascii="Times New Roman"/>
                <w:szCs w:val="18"/>
              </w:rPr>
              <w:t>仓储配送</w:t>
            </w:r>
          </w:p>
        </w:tc>
        <w:tc>
          <w:tcPr>
            <w:tcW w:w="3714" w:type="pct"/>
            <w:shd w:val="clear" w:color="auto" w:fill="auto"/>
            <w:vAlign w:val="center"/>
          </w:tcPr>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制定仓储管理规范，实现出入库、盘点和安全库存等管理；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基于管理分类和规范要求，实现仓储合规管理；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基于生产计划和物料清单（BOM）制定配送计划，实现原辅材料、半成品等定时定量配送或领用</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基于条码、二维码、RFID和数字化称重系统等，实现关键物料的出入库管理；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建立仓储管理系统，实现货物库位分配、出入库和移库等管理；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基于生产单元物料消耗情况发起配送请求，并提示及时配送</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基于仓储管理系统与制造执行系统集成，依据实际生产作业计划实现半自动或自动出入库管理；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采用射频遥控数据终端、扫码枪等手段进行出入库；</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通过配送设备（AGV、起重机、输送链等）和信息系统集成，实现关键件及时配送和接收确认</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通过数字化仓储设备、配送设备与信息系统集成，依据实际生产状态实时拉动物料配送；</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建立仓储模型和配送模型，实现最小库存和最优路径</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基于分拣和配送模型，满足个性化、柔性化生产实时配送需求；</w:t>
            </w:r>
          </w:p>
          <w:p>
            <w:pPr>
              <w:pStyle w:val="24"/>
              <w:ind w:left="180" w:hanging="180" w:hangingChars="100"/>
              <w:jc w:val="left"/>
              <w:rPr>
                <w:rFonts w:hAnsi="宋体" w:eastAsia="仿宋" w:cs="宋体"/>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通过企业与上游供应链的集成优化，实现最优库存或即时供货。</w:t>
            </w:r>
          </w:p>
        </w:tc>
        <w:tc>
          <w:tcPr>
            <w:tcW w:w="360" w:type="pct"/>
            <w:shd w:val="clear" w:color="auto" w:fill="auto"/>
            <w:vAlign w:val="center"/>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continue"/>
            <w:shd w:val="clear" w:color="auto" w:fill="auto"/>
            <w:vAlign w:val="center"/>
          </w:tcPr>
          <w:p>
            <w:pPr>
              <w:pStyle w:val="22"/>
              <w:rPr>
                <w:szCs w:val="18"/>
              </w:rPr>
            </w:pPr>
          </w:p>
        </w:tc>
        <w:tc>
          <w:tcPr>
            <w:tcW w:w="298" w:type="pct"/>
            <w:shd w:val="clear" w:color="auto" w:fill="auto"/>
            <w:vAlign w:val="center"/>
          </w:tcPr>
          <w:p>
            <w:pPr>
              <w:pStyle w:val="22"/>
              <w:rPr>
                <w:szCs w:val="18"/>
              </w:rPr>
            </w:pPr>
            <w:r>
              <w:rPr>
                <w:rFonts w:hint="eastAsia" w:ascii="Times New Roman"/>
                <w:szCs w:val="18"/>
              </w:rPr>
              <w:t>安全环保</w:t>
            </w:r>
          </w:p>
        </w:tc>
        <w:tc>
          <w:tcPr>
            <w:tcW w:w="3714" w:type="pct"/>
            <w:shd w:val="clear" w:color="auto" w:fill="auto"/>
            <w:vAlign w:val="center"/>
          </w:tcPr>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制定了企业安全、环保和职业健康管理机制，具备安全、环保和职业健康操作规程</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通过信息技术手段实现了员工职业健康和安全作业管理；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通过信息技术手段实现了环保管理，对铸造过程中废气、废砂、噪声、废水等的数据采集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建立了安全培训、风险管理等知识库，在现场作业端应用定位跟踪等方法，强化现场安全管控；</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实现了从清洁生产到末端治理的全过程环保数据的采集，实时监控及报警，并开展可视化分析；</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建立了应急指挥平台，基于应急预案库自动给出管理建议，缩短突发事件应急响应时间</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基于安全作业、风险管控等数据的分析，实现危险源的动态识别、评审和治理；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实现了环保监测数据和生产作业数据的集成应用，建立数据分析模型，开展排放分析及预测预警</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综合应用知识库及大数据分析技术，实现了生产安全一体化管理；</w:t>
            </w:r>
          </w:p>
          <w:p>
            <w:pPr>
              <w:pStyle w:val="22"/>
              <w:jc w:val="left"/>
              <w:rPr>
                <w:rFonts w:hAnsi="宋体" w:cs="宋体"/>
                <w:szCs w:val="18"/>
              </w:rPr>
            </w:pPr>
            <w:r>
              <w:rPr>
                <w:rFonts w:hint="eastAsia" w:ascii="仿宋" w:hAnsi="仿宋" w:eastAsia="仿宋" w:cs="仿宋"/>
                <w:szCs w:val="24"/>
              </w:rPr>
              <w:sym w:font="Wingdings" w:char="00A8"/>
            </w:r>
            <w:r>
              <w:rPr>
                <w:rFonts w:hint="eastAsia" w:ascii="仿宋" w:hAnsi="仿宋" w:eastAsia="仿宋" w:cs="仿宋"/>
                <w:szCs w:val="18"/>
              </w:rPr>
              <w:t>实现了环保、生产、设备等数据的全面实时监控，应用数据分析模型，预测生产排放并自动提供生产优化方案并执行</w:t>
            </w:r>
          </w:p>
        </w:tc>
        <w:tc>
          <w:tcPr>
            <w:tcW w:w="360" w:type="pct"/>
            <w:shd w:val="clear" w:color="auto" w:fill="auto"/>
            <w:vAlign w:val="center"/>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vMerge w:val="continue"/>
            <w:shd w:val="clear" w:color="auto" w:fill="auto"/>
            <w:vAlign w:val="center"/>
          </w:tcPr>
          <w:p>
            <w:pPr>
              <w:pStyle w:val="22"/>
              <w:rPr>
                <w:szCs w:val="18"/>
              </w:rPr>
            </w:pPr>
          </w:p>
        </w:tc>
        <w:tc>
          <w:tcPr>
            <w:tcW w:w="298" w:type="pct"/>
            <w:shd w:val="clear" w:color="auto" w:fill="auto"/>
            <w:vAlign w:val="center"/>
          </w:tcPr>
          <w:p>
            <w:pPr>
              <w:pStyle w:val="22"/>
              <w:rPr>
                <w:szCs w:val="18"/>
              </w:rPr>
            </w:pPr>
            <w:r>
              <w:rPr>
                <w:rFonts w:hint="eastAsia" w:ascii="Times New Roman"/>
                <w:szCs w:val="18"/>
              </w:rPr>
              <w:t>能源管理</w:t>
            </w:r>
          </w:p>
        </w:tc>
        <w:tc>
          <w:tcPr>
            <w:tcW w:w="3714" w:type="pct"/>
            <w:shd w:val="clear" w:color="auto" w:fill="auto"/>
            <w:vAlign w:val="center"/>
          </w:tcPr>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建立了企业能源管理制度，开展主要能源的数据采集和计量</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通过信息技术手段,对生产过程中主要能源的使用、转化开展了数据采集和计量；</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建立了水、电、气、焦炭等重点能源消耗的动态监控和计量；</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实现了熔炼炉等重点高能耗设备系统等的动态运行监控；</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对有节能优化需求的设备开展实时计量，并基于计量结果进行节能改造</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对熔炼炉等高能耗设备能耗数据进行统计与分析，制定合理的能耗评价指标；</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建立了能源管理信息系统，对能源输送、存储、转化、使用等各环节进行全面监控，进行能源使用和生产活动匹配，并实现能源调度；</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实现了能源数据与其他系统数据共享，为业务管理系统和决策支持系统提供能源数据和决策支持系统提供能源数据</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建立了节能模型，实现能流的精细化和可视化管理；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根据能效评估结果及时对熔炼炉等高耗能设备进行技术改造和更新</w:t>
            </w:r>
          </w:p>
          <w:p>
            <w:pPr>
              <w:pStyle w:val="22"/>
              <w:jc w:val="left"/>
              <w:rPr>
                <w:rFonts w:hAnsi="宋体" w:cs="宋体"/>
                <w:szCs w:val="18"/>
              </w:rPr>
            </w:pPr>
            <w:r>
              <w:rPr>
                <w:rFonts w:hint="eastAsia" w:ascii="仿宋" w:hAnsi="仿宋" w:eastAsia="仿宋" w:cs="仿宋"/>
                <w:szCs w:val="24"/>
              </w:rPr>
              <w:sym w:font="Wingdings" w:char="00A8"/>
            </w:r>
            <w:r>
              <w:rPr>
                <w:rFonts w:hint="eastAsia" w:ascii="仿宋" w:hAnsi="仿宋" w:eastAsia="仿宋" w:cs="仿宋"/>
                <w:szCs w:val="18"/>
              </w:rPr>
              <w:t>实现了能源的动态预测和平衡，并指导生产</w:t>
            </w:r>
          </w:p>
        </w:tc>
        <w:tc>
          <w:tcPr>
            <w:tcW w:w="360" w:type="pct"/>
            <w:shd w:val="clear" w:color="auto" w:fill="auto"/>
            <w:vAlign w:val="center"/>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shd w:val="clear" w:color="auto" w:fill="auto"/>
            <w:vAlign w:val="center"/>
          </w:tcPr>
          <w:p>
            <w:pPr>
              <w:pStyle w:val="22"/>
              <w:rPr>
                <w:szCs w:val="18"/>
              </w:rPr>
            </w:pPr>
            <w:r>
              <w:rPr>
                <w:rFonts w:hint="eastAsia" w:ascii="Times New Roman"/>
                <w:szCs w:val="18"/>
              </w:rPr>
              <w:t>物流</w:t>
            </w:r>
          </w:p>
        </w:tc>
        <w:tc>
          <w:tcPr>
            <w:tcW w:w="298" w:type="pct"/>
            <w:shd w:val="clear" w:color="auto" w:fill="auto"/>
            <w:vAlign w:val="center"/>
          </w:tcPr>
          <w:p>
            <w:pPr>
              <w:pStyle w:val="22"/>
              <w:rPr>
                <w:szCs w:val="18"/>
              </w:rPr>
            </w:pPr>
            <w:r>
              <w:rPr>
                <w:rFonts w:hint="eastAsia" w:ascii="Times New Roman"/>
                <w:szCs w:val="18"/>
              </w:rPr>
              <w:t>物流</w:t>
            </w:r>
          </w:p>
        </w:tc>
        <w:tc>
          <w:tcPr>
            <w:tcW w:w="3714" w:type="pct"/>
            <w:shd w:val="clear" w:color="auto" w:fill="auto"/>
          </w:tcPr>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根据运输订单和经验，制定运输计划并配置调度；</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对物流信息进行简单跟踪</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通过运输管理系统实现订单、运输计划、运力资源、装卸资源、调度等的管理；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通过电话、短信等形式反馈运输配送关键节点信息给管理人员</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通过仓储管理系统和运输管理系统的集成，整合出库和运输过程；</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实现运输关键节点信息跟踪，并通过信息系统将信息反馈给客户及相关方；</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基于互联网，通过运输管理系统，实现了拼单、拆单等功能</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基于互联网，实现生产、仓储、运输、交通、天气多系统、多资源的协同优化、可视化；</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实现了生产、质量、运输配送全过程信息监控、交互，对异常进行报警和自动纠偏；</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基于模型，实现了装载能力优化以及运输配送线路优化</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通过互联网、物联网和数据模型分析，实现了物、车、路、人的最佳方案自主匹配；</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接入了智慧交通、智慧城市等社会资源，实现了全流程相关方需求的智慧响应，全流程资源的可视化；</w:t>
            </w:r>
          </w:p>
          <w:p>
            <w:pPr>
              <w:pStyle w:val="22"/>
              <w:jc w:val="left"/>
              <w:rPr>
                <w:rFonts w:hAnsi="宋体" w:cs="宋体"/>
                <w:szCs w:val="18"/>
              </w:rPr>
            </w:pPr>
            <w:r>
              <w:rPr>
                <w:rFonts w:hint="eastAsia" w:ascii="仿宋" w:hAnsi="仿宋" w:eastAsia="仿宋" w:cs="仿宋"/>
                <w:szCs w:val="24"/>
              </w:rPr>
              <w:sym w:font="Wingdings" w:char="00A8"/>
            </w:r>
            <w:r>
              <w:rPr>
                <w:rFonts w:hint="eastAsia" w:ascii="仿宋" w:hAnsi="仿宋" w:eastAsia="仿宋" w:cs="仿宋"/>
                <w:szCs w:val="18"/>
              </w:rPr>
              <w:t>建立了信用评价体系</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shd w:val="clear" w:color="auto" w:fill="auto"/>
            <w:vAlign w:val="center"/>
          </w:tcPr>
          <w:p>
            <w:pPr>
              <w:pStyle w:val="22"/>
              <w:rPr>
                <w:szCs w:val="18"/>
              </w:rPr>
            </w:pPr>
            <w:r>
              <w:rPr>
                <w:rFonts w:hint="eastAsia" w:ascii="Times New Roman"/>
                <w:szCs w:val="18"/>
              </w:rPr>
              <w:t>销售</w:t>
            </w:r>
          </w:p>
        </w:tc>
        <w:tc>
          <w:tcPr>
            <w:tcW w:w="298" w:type="pct"/>
            <w:shd w:val="clear" w:color="auto" w:fill="auto"/>
            <w:vAlign w:val="center"/>
          </w:tcPr>
          <w:p>
            <w:pPr>
              <w:pStyle w:val="22"/>
              <w:rPr>
                <w:szCs w:val="18"/>
              </w:rPr>
            </w:pPr>
            <w:r>
              <w:rPr>
                <w:rFonts w:hint="eastAsia" w:ascii="Times New Roman"/>
                <w:szCs w:val="18"/>
              </w:rPr>
              <w:t>销售</w:t>
            </w:r>
          </w:p>
        </w:tc>
        <w:tc>
          <w:tcPr>
            <w:tcW w:w="3714" w:type="pct"/>
            <w:shd w:val="clear" w:color="auto" w:fill="auto"/>
          </w:tcPr>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基于市场信息和销售历史数据（区域分布、铸件下游行业、吨位、数量、销售额等），通过人工方式进行市场预测，制定市场开发和销售计划；</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对销售订单、销售合同、客户等信息进行统计和管理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通过信息系统编制市场开发计划和销售计划，实现了市场开发计划、销售计划、订单、销售历史数据的管理；</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通过信息技术手段实现了客户静态信息和动态信息的管理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根据数据模型进行市场预测，生成市场开发计划和销售计划；</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与采购、生产、物流等业务集成，实现了客户实际需求拉动采购、生产和物流计划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通过对客户信息的挖掘、分析，优化客户需求预测模型，制定了精准的市场开发计划和销售计划；</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综合运用各种渠道，实现线上线下协同，统一管理所有市场开发方式；</w:t>
            </w:r>
          </w:p>
          <w:p>
            <w:pPr>
              <w:pStyle w:val="22"/>
              <w:jc w:val="left"/>
              <w:rPr>
                <w:rFonts w:ascii="仿宋" w:hAnsi="仿宋" w:eastAsia="仿宋" w:cs="仿宋"/>
                <w:szCs w:val="18"/>
              </w:rPr>
            </w:pPr>
            <w:r>
              <w:rPr>
                <w:rFonts w:hint="eastAsia" w:ascii="仿宋" w:hAnsi="仿宋" w:eastAsia="仿宋" w:cs="仿宋"/>
                <w:szCs w:val="24"/>
              </w:rPr>
              <w:sym w:font="Wingdings" w:char="00A8"/>
            </w:r>
            <w:r>
              <w:rPr>
                <w:rFonts w:hint="eastAsia" w:ascii="仿宋" w:hAnsi="仿宋" w:eastAsia="仿宋" w:cs="仿宋"/>
                <w:szCs w:val="18"/>
              </w:rPr>
              <w:t>根据客户需求变化情况，动态调整设计、采购、生产、物流等方案</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采用大数据、云计算和机器学习等技术，通过数据挖掘、建模分析，全方位分析客户特征，实现了满足客户需求的精准营销，并挖掘客户新的需求，促进产品创新；</w:t>
            </w:r>
          </w:p>
          <w:p>
            <w:pPr>
              <w:pStyle w:val="22"/>
              <w:jc w:val="left"/>
              <w:rPr>
                <w:rFonts w:hAnsi="宋体" w:cs="宋体"/>
                <w:szCs w:val="18"/>
              </w:rPr>
            </w:pPr>
            <w:r>
              <w:rPr>
                <w:rFonts w:hint="eastAsia" w:ascii="仿宋" w:hAnsi="仿宋" w:eastAsia="仿宋" w:cs="仿宋"/>
                <w:szCs w:val="24"/>
              </w:rPr>
              <w:sym w:font="Wingdings" w:char="00A8"/>
            </w:r>
            <w:r>
              <w:rPr>
                <w:rFonts w:hint="eastAsia" w:ascii="仿宋" w:hAnsi="仿宋" w:eastAsia="仿宋" w:cs="仿宋"/>
                <w:szCs w:val="18"/>
              </w:rPr>
              <w:t>实现了产品从接单、答复交期、生产、发货、回款全过程的自动管理</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vMerge w:val="continue"/>
            <w:shd w:val="clear" w:color="auto" w:fill="auto"/>
            <w:vAlign w:val="center"/>
          </w:tcPr>
          <w:p>
            <w:pPr>
              <w:pStyle w:val="22"/>
              <w:rPr>
                <w:szCs w:val="18"/>
              </w:rPr>
            </w:pPr>
          </w:p>
        </w:tc>
        <w:tc>
          <w:tcPr>
            <w:tcW w:w="281" w:type="pct"/>
            <w:shd w:val="clear" w:color="auto" w:fill="auto"/>
            <w:vAlign w:val="center"/>
          </w:tcPr>
          <w:p>
            <w:pPr>
              <w:pStyle w:val="22"/>
              <w:rPr>
                <w:szCs w:val="18"/>
              </w:rPr>
            </w:pPr>
            <w:r>
              <w:rPr>
                <w:rFonts w:hint="eastAsia" w:ascii="Times New Roman"/>
                <w:szCs w:val="18"/>
              </w:rPr>
              <w:t>服务</w:t>
            </w:r>
          </w:p>
        </w:tc>
        <w:tc>
          <w:tcPr>
            <w:tcW w:w="298" w:type="pct"/>
            <w:shd w:val="clear" w:color="auto" w:fill="auto"/>
            <w:vAlign w:val="center"/>
          </w:tcPr>
          <w:p>
            <w:pPr>
              <w:pStyle w:val="22"/>
              <w:rPr>
                <w:szCs w:val="18"/>
              </w:rPr>
            </w:pPr>
            <w:r>
              <w:rPr>
                <w:rFonts w:hint="eastAsia" w:ascii="Times New Roman"/>
                <w:szCs w:val="18"/>
              </w:rPr>
              <w:t>客户服务</w:t>
            </w:r>
          </w:p>
        </w:tc>
        <w:tc>
          <w:tcPr>
            <w:tcW w:w="3714" w:type="pct"/>
            <w:shd w:val="clear" w:color="auto" w:fill="auto"/>
          </w:tcPr>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制定了客户服务规范，并有效执行；</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对客户服务信息进行了统计，并反馈给设计、生产、销售部门</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建立了包含客户反馈渠道和服务满意度评价制度的规范化服务体系，实现客户服务闭环管理；</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通过信息系统实现客户服务管理，对客户服务信息进行统计并反馈给相关部门</w:t>
            </w:r>
          </w:p>
          <w:p>
            <w:pPr>
              <w:pStyle w:val="24"/>
              <w:ind w:left="180" w:hanging="180" w:hangingChars="100"/>
              <w:jc w:val="left"/>
              <w:rPr>
                <w:rFonts w:ascii="仿宋" w:hAnsi="仿宋" w:eastAsia="仿宋" w:cs="仿宋"/>
                <w:sz w:val="18"/>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通过客户服务平台或移动客户端等提供客服；</w:t>
            </w:r>
          </w:p>
          <w:p>
            <w:pPr>
              <w:pStyle w:val="24"/>
              <w:ind w:left="180" w:hanging="180" w:hangingChars="100"/>
              <w:jc w:val="left"/>
              <w:rPr>
                <w:rFonts w:hAnsi="宋体" w:cs="宋体"/>
                <w:szCs w:val="18"/>
              </w:rPr>
            </w:pPr>
            <w:r>
              <w:rPr>
                <w:rFonts w:hint="eastAsia" w:ascii="仿宋" w:hAnsi="仿宋" w:eastAsia="仿宋" w:cs="仿宋"/>
                <w:sz w:val="18"/>
                <w:szCs w:val="24"/>
              </w:rPr>
              <w:sym w:font="Wingdings" w:char="00A8"/>
            </w:r>
            <w:r>
              <w:rPr>
                <w:rFonts w:hint="eastAsia" w:ascii="仿宋" w:hAnsi="仿宋" w:eastAsia="仿宋" w:cs="仿宋"/>
                <w:sz w:val="18"/>
                <w:szCs w:val="18"/>
              </w:rPr>
              <w:t>具备客户服务信息数据库及客户服务知识库，实现与客户关系管理系统的集成</w:t>
            </w:r>
          </w:p>
        </w:tc>
        <w:tc>
          <w:tcPr>
            <w:tcW w:w="360" w:type="pct"/>
            <w:shd w:val="clear" w:color="auto" w:fill="auto"/>
          </w:tcPr>
          <w:p>
            <w:pPr>
              <w:pStyle w:val="22"/>
              <w:rPr>
                <w:szCs w:val="18"/>
              </w:rPr>
            </w:pPr>
            <w:r>
              <w:rPr>
                <w:rFonts w:hint="eastAsia" w:ascii="Times New Roman"/>
                <w:szCs w:val="18"/>
              </w:rPr>
              <w:sym w:font="Wingdings" w:char="00A8"/>
            </w:r>
            <w:r>
              <w:rPr>
                <w:rFonts w:hint="eastAsia" w:ascii="Times New Roman"/>
                <w:szCs w:val="18"/>
              </w:rPr>
              <w:t>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46" w:type="pct"/>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真实</w:t>
            </w:r>
          </w:p>
          <w:p>
            <w:pPr>
              <w:jc w:val="left"/>
              <w:rPr>
                <w:rFonts w:ascii="仿宋" w:hAnsi="仿宋" w:eastAsia="仿宋" w:cs="仿宋"/>
                <w:bCs/>
                <w:szCs w:val="21"/>
              </w:rPr>
            </w:pPr>
            <w:r>
              <w:rPr>
                <w:rFonts w:hint="eastAsia" w:ascii="仿宋" w:hAnsi="仿宋" w:eastAsia="仿宋" w:cs="仿宋"/>
                <w:bCs/>
                <w:szCs w:val="21"/>
              </w:rPr>
              <w:t>性承</w:t>
            </w:r>
          </w:p>
          <w:p>
            <w:pPr>
              <w:pStyle w:val="22"/>
              <w:rPr>
                <w:szCs w:val="18"/>
              </w:rPr>
            </w:pPr>
            <w:r>
              <w:rPr>
                <w:rFonts w:hint="eastAsia" w:ascii="仿宋" w:hAnsi="仿宋" w:eastAsia="仿宋" w:cs="仿宋"/>
                <w:bCs/>
                <w:szCs w:val="21"/>
              </w:rPr>
              <w:t>诺</w:t>
            </w:r>
          </w:p>
        </w:tc>
        <w:tc>
          <w:tcPr>
            <w:tcW w:w="4653" w:type="pct"/>
            <w:gridSpan w:val="4"/>
            <w:shd w:val="clear" w:color="auto" w:fill="auto"/>
            <w:vAlign w:val="center"/>
          </w:tcPr>
          <w:p>
            <w:pPr>
              <w:jc w:val="left"/>
              <w:rPr>
                <w:rFonts w:ascii="仿宋" w:hAnsi="仿宋" w:eastAsia="仿宋" w:cs="仿宋"/>
                <w:bCs/>
                <w:szCs w:val="21"/>
              </w:rPr>
            </w:pPr>
            <w:r>
              <w:rPr>
                <w:rFonts w:hint="eastAsia" w:ascii="仿宋" w:hAnsi="仿宋" w:eastAsia="仿宋" w:cs="仿宋"/>
                <w:bCs/>
                <w:szCs w:val="21"/>
              </w:rPr>
              <w:t>我单位申报的所有材料，均真实、完整，如有不实，愿承担相应的法律责任。</w:t>
            </w:r>
          </w:p>
          <w:p>
            <w:pPr>
              <w:jc w:val="left"/>
              <w:rPr>
                <w:rFonts w:ascii="仿宋" w:hAnsi="仿宋" w:eastAsia="仿宋" w:cs="仿宋"/>
                <w:bCs/>
                <w:szCs w:val="21"/>
              </w:rPr>
            </w:pPr>
          </w:p>
          <w:p>
            <w:pPr>
              <w:jc w:val="left"/>
              <w:rPr>
                <w:rFonts w:ascii="仿宋" w:hAnsi="仿宋" w:eastAsia="仿宋" w:cs="仿宋"/>
                <w:bCs/>
                <w:szCs w:val="21"/>
              </w:rPr>
            </w:pPr>
            <w:r>
              <w:rPr>
                <w:rFonts w:hint="eastAsia" w:ascii="仿宋" w:hAnsi="仿宋" w:eastAsia="仿宋" w:cs="仿宋"/>
                <w:bCs/>
                <w:szCs w:val="21"/>
              </w:rPr>
              <w:t>法定代表人签字：                               （公章）</w:t>
            </w:r>
          </w:p>
          <w:p>
            <w:pPr>
              <w:jc w:val="left"/>
              <w:rPr>
                <w:rFonts w:ascii="仿宋" w:hAnsi="仿宋" w:eastAsia="仿宋" w:cs="仿宋"/>
                <w:bCs/>
                <w:szCs w:val="21"/>
              </w:rPr>
            </w:pPr>
          </w:p>
          <w:p>
            <w:pPr>
              <w:jc w:val="left"/>
              <w:rPr>
                <w:rFonts w:ascii="Times New Roman"/>
                <w:sz w:val="18"/>
                <w:szCs w:val="18"/>
              </w:rPr>
            </w:pPr>
            <w:r>
              <w:rPr>
                <w:rFonts w:hint="eastAsia" w:ascii="仿宋" w:hAnsi="仿宋" w:eastAsia="仿宋" w:cs="仿宋"/>
                <w:bCs/>
                <w:szCs w:val="21"/>
              </w:rPr>
              <w:t xml:space="preserve">                                             年   月   日</w:t>
            </w:r>
          </w:p>
        </w:tc>
      </w:tr>
    </w:tbl>
    <w:p>
      <w:pPr>
        <w:rPr>
          <w:rFonts w:ascii="仿宋" w:hAnsi="仿宋" w:eastAsia="仿宋" w:cs="仿宋"/>
          <w:szCs w:val="21"/>
        </w:rPr>
      </w:pPr>
      <w:r>
        <w:rPr>
          <w:rFonts w:hint="eastAsia" w:ascii="仿宋" w:hAnsi="仿宋" w:eastAsia="仿宋" w:cs="仿宋"/>
          <w:szCs w:val="21"/>
        </w:rPr>
        <w:t>注：</w:t>
      </w:r>
    </w:p>
    <w:p>
      <w:pPr>
        <w:rPr>
          <w:rFonts w:ascii="仿宋" w:hAnsi="仿宋" w:eastAsia="仿宋" w:cs="仿宋"/>
          <w:szCs w:val="21"/>
        </w:rPr>
      </w:pPr>
      <w:r>
        <w:rPr>
          <w:rFonts w:hint="eastAsia" w:ascii="仿宋" w:hAnsi="仿宋" w:eastAsia="仿宋" w:cs="仿宋"/>
          <w:szCs w:val="21"/>
        </w:rPr>
        <w:t>1.在符合企业实际情况的条款前面单击方框即可完成选择；</w:t>
      </w:r>
    </w:p>
    <w:p>
      <w:pPr>
        <w:rPr>
          <w:rFonts w:ascii="仿宋" w:hAnsi="仿宋" w:eastAsia="仿宋" w:cs="仿宋"/>
          <w:szCs w:val="21"/>
        </w:rPr>
      </w:pPr>
      <w:r>
        <w:rPr>
          <w:rFonts w:hint="eastAsia" w:ascii="仿宋" w:hAnsi="仿宋" w:eastAsia="仿宋" w:cs="仿宋"/>
          <w:szCs w:val="21"/>
        </w:rPr>
        <w:t>2.各企业（装备企业、材料企业）可根据产品情况调整相关内容；</w:t>
      </w:r>
    </w:p>
    <w:p>
      <w:pPr>
        <w:rPr>
          <w:rFonts w:ascii="仿宋" w:hAnsi="仿宋" w:eastAsia="仿宋" w:cs="仿宋"/>
          <w:color w:val="333333"/>
          <w:szCs w:val="21"/>
          <w:shd w:val="clear" w:color="auto" w:fill="FFFFFF"/>
        </w:rPr>
      </w:pPr>
      <w:r>
        <w:rPr>
          <w:rFonts w:hint="eastAsia" w:ascii="仿宋" w:hAnsi="仿宋" w:eastAsia="仿宋" w:cs="仿宋"/>
          <w:szCs w:val="21"/>
        </w:rPr>
        <w:t>3.“级别及具体描述”栏参照</w:t>
      </w:r>
      <w:r>
        <w:rPr>
          <w:rFonts w:hint="eastAsia" w:ascii="仿宋" w:hAnsi="仿宋" w:eastAsia="仿宋" w:cs="仿宋"/>
          <w:color w:val="333333"/>
          <w:szCs w:val="21"/>
          <w:shd w:val="clear" w:color="auto" w:fill="FFFFFF"/>
        </w:rPr>
        <w:t>《铸造企业智能制造能力成熟度评估方法》（T/CFA 0311011-2021），可另加附件。</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w:t>
      </w:r>
    </w:p>
    <w:p>
      <w:pPr>
        <w:snapToGrid w:val="0"/>
        <w:spacing w:line="400" w:lineRule="exact"/>
        <w:jc w:val="center"/>
        <w:rPr>
          <w:rFonts w:ascii="方正小标宋简体" w:hAnsi="仿宋" w:eastAsia="方正小标宋简体"/>
          <w:bCs/>
          <w:sz w:val="32"/>
          <w:szCs w:val="32"/>
        </w:rPr>
      </w:pPr>
      <w:r>
        <w:rPr>
          <w:rFonts w:hint="eastAsia" w:ascii="方正小标宋简体" w:hAnsi="仿宋" w:eastAsia="方正小标宋简体"/>
          <w:bCs/>
          <w:sz w:val="32"/>
          <w:szCs w:val="32"/>
        </w:rPr>
        <w:t>参评企业需提交的材料明细表</w:t>
      </w:r>
    </w:p>
    <w:tbl>
      <w:tblPr>
        <w:tblStyle w:val="10"/>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3669"/>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序号</w:t>
            </w:r>
          </w:p>
        </w:tc>
        <w:tc>
          <w:tcPr>
            <w:tcW w:w="3669"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项目名称</w:t>
            </w:r>
          </w:p>
        </w:tc>
        <w:tc>
          <w:tcPr>
            <w:tcW w:w="4644"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1</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铸造企业智能制造能力成熟度对标评价申报书</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2</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企业简介</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3</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企业营业执照（或三证合一）</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有效期内营业执照（或三证合一）复印件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4</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企业上市情况</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有效证明文件复印件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5</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信用等级</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信用等级评价证明材料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6</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2020-2023年产量（万吨）、营业收入（万元）、利润率（%）、人均产值（万元）</w:t>
            </w:r>
            <w:r>
              <w:rPr>
                <w:rFonts w:hint="eastAsia" w:ascii="仿宋" w:hAnsi="仿宋" w:eastAsia="仿宋" w:cs="仿宋"/>
                <w:szCs w:val="21"/>
              </w:rPr>
              <w:t>等</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提供财务报表或第三方审计报告证明材料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7</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2020-2023年损益表</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有效证明文件复印件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8</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体系、产品认证</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质量管理体系、环保管理体系、职业健康安全管理体系认证及产品认证有效期内文件复印件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9</w:t>
            </w:r>
            <w:r>
              <w:rPr>
                <w:rFonts w:hint="eastAsia" w:ascii="仿宋" w:hAnsi="仿宋" w:eastAsia="仿宋" w:cs="仿宋"/>
                <w:kern w:val="0"/>
                <w:szCs w:val="21"/>
                <w:vertAlign w:val="superscript"/>
              </w:rPr>
              <w:t>＊</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专利授予证书（附专利目录）</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有效证明文件复印件，需在专利证书复印件前附专利目录（提供最新的20项复印件，超过20项请按目录填写，时间按倒序排列，并盖企业公章），</w:t>
            </w:r>
            <w:r>
              <w:rPr>
                <w:rFonts w:hint="eastAsia" w:ascii="仿宋" w:hAnsi="仿宋" w:eastAsia="仿宋" w:cs="仿宋"/>
                <w:b/>
                <w:bCs/>
                <w:kern w:val="0"/>
                <w:szCs w:val="21"/>
              </w:rPr>
              <w:t>格式见后专利目录示例。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企业获得的国家级、省部级及行业组织授予的各项荣誉</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有效证明文件复印件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11</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获得国家级科技成果/科技进步奖（与铸造及铸造产业相关），省级科技成果/科技进步奖（与铸造及铸造产业相关）</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有效证明文件复印件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12</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承担国家级或省部级重点项目、重点课题</w:t>
            </w:r>
          </w:p>
        </w:tc>
        <w:tc>
          <w:tcPr>
            <w:tcW w:w="4644" w:type="dxa"/>
            <w:tcMar>
              <w:left w:w="57" w:type="dxa"/>
              <w:right w:w="57" w:type="dxa"/>
            </w:tcMar>
            <w:vAlign w:val="center"/>
          </w:tcPr>
          <w:p>
            <w:pPr>
              <w:snapToGrid w:val="0"/>
              <w:spacing w:line="240" w:lineRule="exact"/>
              <w:jc w:val="left"/>
              <w:rPr>
                <w:rFonts w:ascii="仿宋" w:hAnsi="仿宋" w:eastAsia="仿宋" w:cs="仿宋"/>
                <w:szCs w:val="21"/>
              </w:rPr>
            </w:pPr>
            <w:r>
              <w:rPr>
                <w:rFonts w:hint="eastAsia" w:ascii="仿宋" w:hAnsi="仿宋" w:eastAsia="仿宋" w:cs="仿宋"/>
                <w:kern w:val="0"/>
                <w:szCs w:val="21"/>
              </w:rPr>
              <w:t>有效证明文件复印件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13</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高新技术企业；技术中心（国家级或省级）授予（认定）文件</w:t>
            </w:r>
          </w:p>
        </w:tc>
        <w:tc>
          <w:tcPr>
            <w:tcW w:w="4644" w:type="dxa"/>
            <w:tcMar>
              <w:left w:w="57" w:type="dxa"/>
              <w:right w:w="57" w:type="dxa"/>
            </w:tcMar>
            <w:vAlign w:val="center"/>
          </w:tcPr>
          <w:p>
            <w:pPr>
              <w:snapToGrid w:val="0"/>
              <w:spacing w:line="240" w:lineRule="exact"/>
              <w:jc w:val="left"/>
              <w:rPr>
                <w:rFonts w:ascii="仿宋" w:hAnsi="仿宋" w:eastAsia="仿宋" w:cs="仿宋"/>
                <w:szCs w:val="21"/>
              </w:rPr>
            </w:pPr>
            <w:r>
              <w:rPr>
                <w:rFonts w:hint="eastAsia" w:ascii="仿宋" w:hAnsi="仿宋" w:eastAsia="仿宋" w:cs="仿宋"/>
                <w:kern w:val="0"/>
                <w:szCs w:val="21"/>
              </w:rPr>
              <w:t>有效证明文件复印件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1" w:type="dxa"/>
            <w:tcMar>
              <w:left w:w="57" w:type="dxa"/>
              <w:right w:w="57" w:type="dxa"/>
            </w:tcMar>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14</w:t>
            </w:r>
          </w:p>
        </w:tc>
        <w:tc>
          <w:tcPr>
            <w:tcW w:w="3669"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作为主起草单位参加国家标准/行业标准/团体标准制定情况</w:t>
            </w:r>
          </w:p>
        </w:tc>
        <w:tc>
          <w:tcPr>
            <w:tcW w:w="4644" w:type="dxa"/>
            <w:tcMar>
              <w:left w:w="57" w:type="dxa"/>
              <w:right w:w="57" w:type="dxa"/>
            </w:tcMar>
            <w:vAlign w:val="center"/>
          </w:tcPr>
          <w:p>
            <w:pPr>
              <w:snapToGrid w:val="0"/>
              <w:spacing w:line="240" w:lineRule="exact"/>
              <w:jc w:val="left"/>
              <w:rPr>
                <w:rFonts w:ascii="仿宋" w:hAnsi="仿宋" w:eastAsia="仿宋" w:cs="仿宋"/>
                <w:kern w:val="0"/>
                <w:szCs w:val="21"/>
              </w:rPr>
            </w:pPr>
            <w:r>
              <w:rPr>
                <w:rFonts w:hint="eastAsia" w:ascii="仿宋" w:hAnsi="仿宋" w:eastAsia="仿宋" w:cs="仿宋"/>
                <w:kern w:val="0"/>
                <w:szCs w:val="21"/>
              </w:rPr>
              <w:t>已发布的提供标准封面及有参加单位的页面，未发布的请提供相关证明材料。</w:t>
            </w:r>
          </w:p>
        </w:tc>
      </w:tr>
    </w:tbl>
    <w:p>
      <w:pPr>
        <w:snapToGrid w:val="0"/>
        <w:spacing w:line="240" w:lineRule="exact"/>
        <w:rPr>
          <w:rFonts w:ascii="仿宋" w:hAnsi="仿宋" w:eastAsia="仿宋"/>
        </w:rPr>
      </w:pPr>
      <w:r>
        <w:rPr>
          <w:rFonts w:hint="eastAsia" w:ascii="仿宋" w:hAnsi="仿宋" w:eastAsia="仿宋"/>
        </w:rPr>
        <w:t>说明：</w:t>
      </w:r>
    </w:p>
    <w:p>
      <w:pPr>
        <w:snapToGrid w:val="0"/>
        <w:spacing w:line="240" w:lineRule="exact"/>
        <w:rPr>
          <w:rFonts w:ascii="仿宋" w:hAnsi="仿宋" w:eastAsia="仿宋"/>
        </w:rPr>
      </w:pPr>
      <w:r>
        <w:rPr>
          <w:rFonts w:hint="eastAsia" w:ascii="仿宋" w:hAnsi="仿宋" w:eastAsia="仿宋"/>
        </w:rPr>
        <w:t>1.证明文件装订成A4幅面，加盖企业公章（骑缝），需提交1份。</w:t>
      </w:r>
    </w:p>
    <w:p>
      <w:pPr>
        <w:snapToGrid w:val="0"/>
        <w:spacing w:line="240" w:lineRule="exact"/>
        <w:rPr>
          <w:rFonts w:ascii="仿宋" w:hAnsi="仿宋" w:eastAsia="仿宋"/>
        </w:rPr>
      </w:pPr>
      <w:r>
        <w:rPr>
          <w:rFonts w:hint="eastAsia" w:ascii="仿宋" w:hAnsi="仿宋" w:eastAsia="仿宋"/>
        </w:rPr>
        <w:t>2.证明文件提供扫描电子版。</w:t>
      </w:r>
    </w:p>
    <w:p>
      <w:pPr>
        <w:snapToGrid w:val="0"/>
        <w:spacing w:line="240" w:lineRule="exact"/>
        <w:rPr>
          <w:rFonts w:ascii="仿宋" w:hAnsi="仿宋" w:eastAsia="仿宋"/>
        </w:rPr>
      </w:pPr>
    </w:p>
    <w:p>
      <w:pPr>
        <w:snapToGrid w:val="0"/>
        <w:spacing w:line="240" w:lineRule="exact"/>
        <w:rPr>
          <w:rFonts w:ascii="仿宋" w:hAnsi="仿宋" w:eastAsia="仿宋"/>
        </w:rPr>
      </w:pPr>
      <w:r>
        <w:rPr>
          <w:rFonts w:hint="eastAsia" w:ascii="仿宋" w:hAnsi="仿宋" w:eastAsia="仿宋"/>
          <w:kern w:val="0"/>
          <w:szCs w:val="21"/>
        </w:rPr>
        <w:t>9</w:t>
      </w:r>
      <w:r>
        <w:rPr>
          <w:rFonts w:hint="eastAsia" w:ascii="仿宋" w:hAnsi="仿宋" w:eastAsia="仿宋"/>
          <w:kern w:val="0"/>
          <w:szCs w:val="21"/>
          <w:vertAlign w:val="superscript"/>
        </w:rPr>
        <w:t>＊</w:t>
      </w:r>
      <w:r>
        <w:rPr>
          <w:rFonts w:hint="eastAsia" w:ascii="仿宋" w:hAnsi="仿宋" w:eastAsia="仿宋"/>
          <w:kern w:val="0"/>
          <w:szCs w:val="21"/>
        </w:rPr>
        <w:t>专利目录示例</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100"/>
        <w:gridCol w:w="1723"/>
        <w:gridCol w:w="1723"/>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napToGrid w:val="0"/>
              <w:spacing w:line="240" w:lineRule="exact"/>
              <w:rPr>
                <w:rFonts w:ascii="仿宋" w:hAnsi="仿宋" w:eastAsia="仿宋"/>
              </w:rPr>
            </w:pPr>
            <w:r>
              <w:rPr>
                <w:rFonts w:hint="eastAsia" w:ascii="仿宋" w:hAnsi="仿宋" w:eastAsia="仿宋"/>
              </w:rPr>
              <w:t>序号</w:t>
            </w:r>
          </w:p>
        </w:tc>
        <w:tc>
          <w:tcPr>
            <w:tcW w:w="2100" w:type="dxa"/>
          </w:tcPr>
          <w:p>
            <w:pPr>
              <w:snapToGrid w:val="0"/>
              <w:spacing w:line="240" w:lineRule="exact"/>
              <w:rPr>
                <w:rFonts w:ascii="仿宋" w:hAnsi="仿宋" w:eastAsia="仿宋"/>
              </w:rPr>
            </w:pPr>
            <w:r>
              <w:rPr>
                <w:rFonts w:hint="eastAsia" w:ascii="仿宋" w:hAnsi="仿宋" w:eastAsia="仿宋"/>
              </w:rPr>
              <w:t>专利名称</w:t>
            </w:r>
          </w:p>
        </w:tc>
        <w:tc>
          <w:tcPr>
            <w:tcW w:w="1723" w:type="dxa"/>
          </w:tcPr>
          <w:p>
            <w:pPr>
              <w:snapToGrid w:val="0"/>
              <w:spacing w:line="240" w:lineRule="exact"/>
              <w:rPr>
                <w:rFonts w:ascii="仿宋" w:hAnsi="仿宋" w:eastAsia="仿宋"/>
              </w:rPr>
            </w:pPr>
            <w:r>
              <w:rPr>
                <w:rFonts w:hint="eastAsia" w:ascii="仿宋" w:hAnsi="仿宋" w:eastAsia="仿宋"/>
              </w:rPr>
              <w:t>专利类型</w:t>
            </w:r>
          </w:p>
        </w:tc>
        <w:tc>
          <w:tcPr>
            <w:tcW w:w="1723" w:type="dxa"/>
          </w:tcPr>
          <w:p>
            <w:pPr>
              <w:snapToGrid w:val="0"/>
              <w:spacing w:line="240" w:lineRule="exact"/>
              <w:rPr>
                <w:rFonts w:ascii="仿宋" w:hAnsi="仿宋" w:eastAsia="仿宋"/>
              </w:rPr>
            </w:pPr>
            <w:r>
              <w:rPr>
                <w:rFonts w:hint="eastAsia" w:ascii="仿宋" w:hAnsi="仿宋" w:eastAsia="仿宋"/>
              </w:rPr>
              <w:t>专利号</w:t>
            </w:r>
          </w:p>
        </w:tc>
        <w:tc>
          <w:tcPr>
            <w:tcW w:w="2220" w:type="dxa"/>
          </w:tcPr>
          <w:p>
            <w:pPr>
              <w:snapToGrid w:val="0"/>
              <w:spacing w:line="240" w:lineRule="exact"/>
              <w:rPr>
                <w:rFonts w:ascii="仿宋" w:hAnsi="仿宋" w:eastAsia="仿宋"/>
              </w:rPr>
            </w:pPr>
            <w:r>
              <w:rPr>
                <w:rFonts w:hint="eastAsia" w:ascii="仿宋" w:hAnsi="仿宋" w:eastAsia="仿宋"/>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napToGrid w:val="0"/>
              <w:spacing w:line="240" w:lineRule="exact"/>
              <w:rPr>
                <w:rFonts w:ascii="仿宋" w:hAnsi="仿宋" w:eastAsia="仿宋"/>
              </w:rPr>
            </w:pPr>
            <w:r>
              <w:rPr>
                <w:rFonts w:hint="eastAsia" w:ascii="仿宋" w:hAnsi="仿宋" w:eastAsia="仿宋"/>
              </w:rPr>
              <w:t>1</w:t>
            </w:r>
          </w:p>
        </w:tc>
        <w:tc>
          <w:tcPr>
            <w:tcW w:w="2100" w:type="dxa"/>
          </w:tcPr>
          <w:p>
            <w:pPr>
              <w:snapToGrid w:val="0"/>
              <w:spacing w:line="240" w:lineRule="exact"/>
              <w:rPr>
                <w:rFonts w:ascii="仿宋" w:hAnsi="仿宋" w:eastAsia="仿宋"/>
              </w:rPr>
            </w:pPr>
          </w:p>
        </w:tc>
        <w:tc>
          <w:tcPr>
            <w:tcW w:w="1723" w:type="dxa"/>
          </w:tcPr>
          <w:p>
            <w:pPr>
              <w:snapToGrid w:val="0"/>
              <w:spacing w:line="240" w:lineRule="exact"/>
              <w:rPr>
                <w:rFonts w:ascii="仿宋" w:hAnsi="仿宋" w:eastAsia="仿宋"/>
              </w:rPr>
            </w:pPr>
          </w:p>
        </w:tc>
        <w:tc>
          <w:tcPr>
            <w:tcW w:w="1723" w:type="dxa"/>
          </w:tcPr>
          <w:p>
            <w:pPr>
              <w:snapToGrid w:val="0"/>
              <w:spacing w:line="240" w:lineRule="exact"/>
              <w:rPr>
                <w:rFonts w:ascii="仿宋" w:hAnsi="仿宋" w:eastAsia="仿宋"/>
              </w:rPr>
            </w:pPr>
          </w:p>
        </w:tc>
        <w:tc>
          <w:tcPr>
            <w:tcW w:w="2220" w:type="dxa"/>
          </w:tcPr>
          <w:p>
            <w:pPr>
              <w:snapToGrid w:val="0"/>
              <w:spacing w:line="24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napToGrid w:val="0"/>
              <w:spacing w:line="240" w:lineRule="exact"/>
              <w:rPr>
                <w:rFonts w:ascii="仿宋" w:hAnsi="仿宋" w:eastAsia="仿宋"/>
              </w:rPr>
            </w:pPr>
            <w:r>
              <w:rPr>
                <w:rFonts w:ascii="仿宋" w:hAnsi="仿宋" w:eastAsia="仿宋"/>
              </w:rPr>
              <w:t>2</w:t>
            </w:r>
          </w:p>
        </w:tc>
        <w:tc>
          <w:tcPr>
            <w:tcW w:w="2100" w:type="dxa"/>
          </w:tcPr>
          <w:p>
            <w:pPr>
              <w:snapToGrid w:val="0"/>
              <w:spacing w:line="240" w:lineRule="exact"/>
              <w:rPr>
                <w:rFonts w:ascii="仿宋" w:hAnsi="仿宋" w:eastAsia="仿宋"/>
                <w:strike/>
              </w:rPr>
            </w:pPr>
          </w:p>
        </w:tc>
        <w:tc>
          <w:tcPr>
            <w:tcW w:w="1723" w:type="dxa"/>
          </w:tcPr>
          <w:p>
            <w:pPr>
              <w:snapToGrid w:val="0"/>
              <w:spacing w:line="240" w:lineRule="exact"/>
              <w:rPr>
                <w:rFonts w:ascii="仿宋" w:hAnsi="仿宋" w:eastAsia="仿宋"/>
                <w:strike/>
              </w:rPr>
            </w:pPr>
          </w:p>
        </w:tc>
        <w:tc>
          <w:tcPr>
            <w:tcW w:w="1723" w:type="dxa"/>
          </w:tcPr>
          <w:p>
            <w:pPr>
              <w:snapToGrid w:val="0"/>
              <w:spacing w:line="240" w:lineRule="exact"/>
              <w:rPr>
                <w:rFonts w:ascii="仿宋" w:hAnsi="仿宋" w:eastAsia="仿宋"/>
                <w:strike/>
              </w:rPr>
            </w:pPr>
          </w:p>
        </w:tc>
        <w:tc>
          <w:tcPr>
            <w:tcW w:w="2220" w:type="dxa"/>
          </w:tcPr>
          <w:p>
            <w:pPr>
              <w:snapToGrid w:val="0"/>
              <w:spacing w:line="240" w:lineRule="exact"/>
              <w:rPr>
                <w:rFonts w:ascii="仿宋" w:hAnsi="仿宋" w:eastAsia="仿宋"/>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napToGrid w:val="0"/>
              <w:spacing w:line="240" w:lineRule="exact"/>
              <w:rPr>
                <w:rFonts w:ascii="仿宋" w:hAnsi="仿宋" w:eastAsia="仿宋"/>
              </w:rPr>
            </w:pPr>
            <w:r>
              <w:rPr>
                <w:rFonts w:hint="eastAsia" w:ascii="仿宋" w:hAnsi="仿宋" w:eastAsia="仿宋"/>
              </w:rPr>
              <w:t>……</w:t>
            </w:r>
          </w:p>
        </w:tc>
        <w:tc>
          <w:tcPr>
            <w:tcW w:w="2100" w:type="dxa"/>
          </w:tcPr>
          <w:p>
            <w:pPr>
              <w:snapToGrid w:val="0"/>
              <w:spacing w:line="240" w:lineRule="exact"/>
              <w:rPr>
                <w:rFonts w:ascii="仿宋" w:hAnsi="仿宋" w:eastAsia="仿宋"/>
                <w:strike/>
              </w:rPr>
            </w:pPr>
          </w:p>
        </w:tc>
        <w:tc>
          <w:tcPr>
            <w:tcW w:w="1723" w:type="dxa"/>
          </w:tcPr>
          <w:p>
            <w:pPr>
              <w:snapToGrid w:val="0"/>
              <w:spacing w:line="240" w:lineRule="exact"/>
              <w:rPr>
                <w:rFonts w:ascii="仿宋" w:hAnsi="仿宋" w:eastAsia="仿宋"/>
                <w:strike/>
              </w:rPr>
            </w:pPr>
          </w:p>
        </w:tc>
        <w:tc>
          <w:tcPr>
            <w:tcW w:w="1723" w:type="dxa"/>
          </w:tcPr>
          <w:p>
            <w:pPr>
              <w:snapToGrid w:val="0"/>
              <w:spacing w:line="240" w:lineRule="exact"/>
              <w:rPr>
                <w:rFonts w:ascii="仿宋" w:hAnsi="仿宋" w:eastAsia="仿宋"/>
                <w:strike/>
              </w:rPr>
            </w:pPr>
          </w:p>
        </w:tc>
        <w:tc>
          <w:tcPr>
            <w:tcW w:w="2220" w:type="dxa"/>
          </w:tcPr>
          <w:p>
            <w:pPr>
              <w:snapToGrid w:val="0"/>
              <w:spacing w:line="240" w:lineRule="exact"/>
              <w:rPr>
                <w:rFonts w:ascii="仿宋" w:hAnsi="仿宋" w:eastAsia="仿宋"/>
                <w:strike/>
              </w:rPr>
            </w:pPr>
          </w:p>
        </w:tc>
      </w:tr>
    </w:tbl>
    <w:p>
      <w:pPr>
        <w:widowControl/>
        <w:jc w:val="left"/>
        <w:rPr>
          <w:rFonts w:ascii="宋体" w:hAnsi="宋体"/>
          <w:sz w:val="28"/>
          <w:szCs w:val="28"/>
        </w:rPr>
      </w:pPr>
    </w:p>
    <w:sectPr>
      <w:footerReference r:id="rId3" w:type="default"/>
      <w:footerReference r:id="rId4" w:type="even"/>
      <w:pgSz w:w="11906" w:h="16838"/>
      <w:pgMar w:top="2098" w:right="1474" w:bottom="1985" w:left="1588" w:header="851" w:footer="136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5788102"/>
    </w:sdtPr>
    <w:sdtEndPr>
      <w:rPr>
        <w:rFonts w:ascii="宋体" w:hAnsi="宋体" w:eastAsia="宋体"/>
        <w:sz w:val="28"/>
        <w:szCs w:val="28"/>
      </w:rPr>
    </w:sdtEndPr>
    <w:sdtContent>
      <w:p>
        <w:pPr>
          <w:pStyle w:val="6"/>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5788074"/>
    </w:sdtPr>
    <w:sdtEndPr>
      <w:rPr>
        <w:rFonts w:ascii="宋体" w:hAnsi="宋体" w:eastAsia="宋体"/>
        <w:sz w:val="28"/>
        <w:szCs w:val="28"/>
      </w:rPr>
    </w:sdtEndPr>
    <w:sdtContent>
      <w:p>
        <w:pPr>
          <w:pStyle w:val="6"/>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4E7C16"/>
    <w:multiLevelType w:val="multilevel"/>
    <w:tmpl w:val="5B4E7C16"/>
    <w:lvl w:ilvl="0" w:tentative="0">
      <w:start w:val="1"/>
      <w:numFmt w:val="lowerLetter"/>
      <w:lvlText w:val="%1)"/>
      <w:lvlJc w:val="left"/>
      <w:pPr>
        <w:ind w:left="482" w:hanging="420"/>
      </w:pPr>
    </w:lvl>
    <w:lvl w:ilvl="1" w:tentative="0">
      <w:start w:val="1"/>
      <w:numFmt w:val="lowerLetter"/>
      <w:lvlText w:val="%2)"/>
      <w:lvlJc w:val="left"/>
      <w:pPr>
        <w:ind w:left="902" w:hanging="420"/>
      </w:pPr>
    </w:lvl>
    <w:lvl w:ilvl="2" w:tentative="0">
      <w:start w:val="1"/>
      <w:numFmt w:val="lowerRoman"/>
      <w:lvlText w:val="%3."/>
      <w:lvlJc w:val="right"/>
      <w:pPr>
        <w:ind w:left="1322" w:hanging="420"/>
      </w:pPr>
    </w:lvl>
    <w:lvl w:ilvl="3" w:tentative="0">
      <w:start w:val="1"/>
      <w:numFmt w:val="decimal"/>
      <w:lvlText w:val="%4."/>
      <w:lvlJc w:val="left"/>
      <w:pPr>
        <w:ind w:left="1742" w:hanging="420"/>
      </w:pPr>
    </w:lvl>
    <w:lvl w:ilvl="4" w:tentative="0">
      <w:start w:val="1"/>
      <w:numFmt w:val="lowerLetter"/>
      <w:lvlText w:val="%5)"/>
      <w:lvlJc w:val="left"/>
      <w:pPr>
        <w:ind w:left="2162" w:hanging="420"/>
      </w:pPr>
    </w:lvl>
    <w:lvl w:ilvl="5" w:tentative="0">
      <w:start w:val="1"/>
      <w:numFmt w:val="lowerRoman"/>
      <w:lvlText w:val="%6."/>
      <w:lvlJc w:val="right"/>
      <w:pPr>
        <w:ind w:left="2582" w:hanging="420"/>
      </w:pPr>
    </w:lvl>
    <w:lvl w:ilvl="6" w:tentative="0">
      <w:start w:val="1"/>
      <w:numFmt w:val="decimal"/>
      <w:lvlText w:val="%7."/>
      <w:lvlJc w:val="left"/>
      <w:pPr>
        <w:ind w:left="3002" w:hanging="420"/>
      </w:pPr>
    </w:lvl>
    <w:lvl w:ilvl="7" w:tentative="0">
      <w:start w:val="1"/>
      <w:numFmt w:val="lowerLetter"/>
      <w:lvlText w:val="%8)"/>
      <w:lvlJc w:val="left"/>
      <w:pPr>
        <w:ind w:left="3422" w:hanging="420"/>
      </w:pPr>
    </w:lvl>
    <w:lvl w:ilvl="8" w:tentative="0">
      <w:start w:val="1"/>
      <w:numFmt w:val="lowerRoman"/>
      <w:lvlText w:val="%9."/>
      <w:lvlJc w:val="right"/>
      <w:pPr>
        <w:ind w:left="38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MzU2MDdmNDljZTAzNjlhZWM5MGU1OWIwN2U5NTAifQ=="/>
  </w:docVars>
  <w:rsids>
    <w:rsidRoot w:val="00FC7330"/>
    <w:rsid w:val="00001EBC"/>
    <w:rsid w:val="00012528"/>
    <w:rsid w:val="0005235B"/>
    <w:rsid w:val="0006744E"/>
    <w:rsid w:val="00085C63"/>
    <w:rsid w:val="00092E19"/>
    <w:rsid w:val="000C28A7"/>
    <w:rsid w:val="000C7C8D"/>
    <w:rsid w:val="000D71A2"/>
    <w:rsid w:val="000D76A4"/>
    <w:rsid w:val="000E1648"/>
    <w:rsid w:val="000E3457"/>
    <w:rsid w:val="00100D15"/>
    <w:rsid w:val="001301DD"/>
    <w:rsid w:val="0013460D"/>
    <w:rsid w:val="00134DE8"/>
    <w:rsid w:val="00137D79"/>
    <w:rsid w:val="00142525"/>
    <w:rsid w:val="001549AC"/>
    <w:rsid w:val="00183B79"/>
    <w:rsid w:val="001943A3"/>
    <w:rsid w:val="001A6CA3"/>
    <w:rsid w:val="001C55F3"/>
    <w:rsid w:val="00201788"/>
    <w:rsid w:val="00207BAF"/>
    <w:rsid w:val="00217155"/>
    <w:rsid w:val="0024337D"/>
    <w:rsid w:val="002A6751"/>
    <w:rsid w:val="002B50D7"/>
    <w:rsid w:val="002C7485"/>
    <w:rsid w:val="002F5AF6"/>
    <w:rsid w:val="003137FD"/>
    <w:rsid w:val="00316E27"/>
    <w:rsid w:val="00335998"/>
    <w:rsid w:val="00360E6F"/>
    <w:rsid w:val="00364DCD"/>
    <w:rsid w:val="00390374"/>
    <w:rsid w:val="00392957"/>
    <w:rsid w:val="003967E1"/>
    <w:rsid w:val="00397CB5"/>
    <w:rsid w:val="003C1298"/>
    <w:rsid w:val="00412039"/>
    <w:rsid w:val="00434F2E"/>
    <w:rsid w:val="00442D5E"/>
    <w:rsid w:val="00463BC4"/>
    <w:rsid w:val="004673B9"/>
    <w:rsid w:val="004746A0"/>
    <w:rsid w:val="004B3E3C"/>
    <w:rsid w:val="0050504C"/>
    <w:rsid w:val="00554F77"/>
    <w:rsid w:val="005646A1"/>
    <w:rsid w:val="00574CB9"/>
    <w:rsid w:val="00586EF3"/>
    <w:rsid w:val="0060791C"/>
    <w:rsid w:val="0061509C"/>
    <w:rsid w:val="00643DE3"/>
    <w:rsid w:val="00682E2D"/>
    <w:rsid w:val="00694DD6"/>
    <w:rsid w:val="006B2464"/>
    <w:rsid w:val="006B36D5"/>
    <w:rsid w:val="006C6B30"/>
    <w:rsid w:val="006C761C"/>
    <w:rsid w:val="006D4471"/>
    <w:rsid w:val="006F7C15"/>
    <w:rsid w:val="00710693"/>
    <w:rsid w:val="00713327"/>
    <w:rsid w:val="00717228"/>
    <w:rsid w:val="00730AA1"/>
    <w:rsid w:val="00736A80"/>
    <w:rsid w:val="00741199"/>
    <w:rsid w:val="007667C7"/>
    <w:rsid w:val="00767046"/>
    <w:rsid w:val="007732AC"/>
    <w:rsid w:val="00783420"/>
    <w:rsid w:val="007978DE"/>
    <w:rsid w:val="007C76F3"/>
    <w:rsid w:val="007F6F0B"/>
    <w:rsid w:val="0084193C"/>
    <w:rsid w:val="00841BB7"/>
    <w:rsid w:val="00845376"/>
    <w:rsid w:val="00881548"/>
    <w:rsid w:val="0090624A"/>
    <w:rsid w:val="009279D3"/>
    <w:rsid w:val="0097614F"/>
    <w:rsid w:val="009B1133"/>
    <w:rsid w:val="009B3BA8"/>
    <w:rsid w:val="009D5F06"/>
    <w:rsid w:val="009F6D5E"/>
    <w:rsid w:val="00A07371"/>
    <w:rsid w:val="00A30370"/>
    <w:rsid w:val="00A372B6"/>
    <w:rsid w:val="00A5558D"/>
    <w:rsid w:val="00A800FC"/>
    <w:rsid w:val="00AA5875"/>
    <w:rsid w:val="00AD5CB7"/>
    <w:rsid w:val="00AF50CD"/>
    <w:rsid w:val="00AF70BA"/>
    <w:rsid w:val="00B028E3"/>
    <w:rsid w:val="00B149A2"/>
    <w:rsid w:val="00B24882"/>
    <w:rsid w:val="00B24E8C"/>
    <w:rsid w:val="00B5209A"/>
    <w:rsid w:val="00B82D6C"/>
    <w:rsid w:val="00B844CC"/>
    <w:rsid w:val="00B9131E"/>
    <w:rsid w:val="00B9292D"/>
    <w:rsid w:val="00B9641D"/>
    <w:rsid w:val="00BA6B64"/>
    <w:rsid w:val="00BC1A4B"/>
    <w:rsid w:val="00BD2BD0"/>
    <w:rsid w:val="00BD721C"/>
    <w:rsid w:val="00BE5158"/>
    <w:rsid w:val="00BE7616"/>
    <w:rsid w:val="00BF1D7A"/>
    <w:rsid w:val="00C0454B"/>
    <w:rsid w:val="00C06666"/>
    <w:rsid w:val="00C17CFC"/>
    <w:rsid w:val="00C60138"/>
    <w:rsid w:val="00C614F2"/>
    <w:rsid w:val="00C6321A"/>
    <w:rsid w:val="00C90F16"/>
    <w:rsid w:val="00CB5F77"/>
    <w:rsid w:val="00CD23C6"/>
    <w:rsid w:val="00CD6014"/>
    <w:rsid w:val="00D07450"/>
    <w:rsid w:val="00D1482D"/>
    <w:rsid w:val="00D156CB"/>
    <w:rsid w:val="00D26984"/>
    <w:rsid w:val="00D31327"/>
    <w:rsid w:val="00D36676"/>
    <w:rsid w:val="00D558BD"/>
    <w:rsid w:val="00D56F00"/>
    <w:rsid w:val="00D606B3"/>
    <w:rsid w:val="00D61A46"/>
    <w:rsid w:val="00D67FA6"/>
    <w:rsid w:val="00DA0986"/>
    <w:rsid w:val="00DB6906"/>
    <w:rsid w:val="00DC1A3E"/>
    <w:rsid w:val="00DD30A5"/>
    <w:rsid w:val="00DE2E33"/>
    <w:rsid w:val="00DE6179"/>
    <w:rsid w:val="00E2100E"/>
    <w:rsid w:val="00E22D6A"/>
    <w:rsid w:val="00E23BD4"/>
    <w:rsid w:val="00E4133D"/>
    <w:rsid w:val="00E65123"/>
    <w:rsid w:val="00E674D4"/>
    <w:rsid w:val="00E93DE8"/>
    <w:rsid w:val="00E9579A"/>
    <w:rsid w:val="00EA39A2"/>
    <w:rsid w:val="00EB1F3C"/>
    <w:rsid w:val="00EB2574"/>
    <w:rsid w:val="00EE2D20"/>
    <w:rsid w:val="00EE4EC6"/>
    <w:rsid w:val="00EE7172"/>
    <w:rsid w:val="00EF5575"/>
    <w:rsid w:val="00F00E62"/>
    <w:rsid w:val="00F07990"/>
    <w:rsid w:val="00F23E1D"/>
    <w:rsid w:val="00F37EFF"/>
    <w:rsid w:val="00F461A9"/>
    <w:rsid w:val="00F61563"/>
    <w:rsid w:val="00F621ED"/>
    <w:rsid w:val="00F67EFC"/>
    <w:rsid w:val="00FC7330"/>
    <w:rsid w:val="00FF7840"/>
    <w:rsid w:val="016663FE"/>
    <w:rsid w:val="0232646C"/>
    <w:rsid w:val="024E23C1"/>
    <w:rsid w:val="030D0562"/>
    <w:rsid w:val="03A06584"/>
    <w:rsid w:val="03A65617"/>
    <w:rsid w:val="03B629F6"/>
    <w:rsid w:val="03E80687"/>
    <w:rsid w:val="040F6053"/>
    <w:rsid w:val="04AC7907"/>
    <w:rsid w:val="05B30E63"/>
    <w:rsid w:val="05F76B64"/>
    <w:rsid w:val="069F3979"/>
    <w:rsid w:val="06C0220F"/>
    <w:rsid w:val="06F10B35"/>
    <w:rsid w:val="072C73D4"/>
    <w:rsid w:val="077A6E4F"/>
    <w:rsid w:val="07F90C0E"/>
    <w:rsid w:val="085D5AE7"/>
    <w:rsid w:val="086520AB"/>
    <w:rsid w:val="08971C0E"/>
    <w:rsid w:val="0AB96515"/>
    <w:rsid w:val="0B0F11BF"/>
    <w:rsid w:val="0B36139C"/>
    <w:rsid w:val="0B6F1467"/>
    <w:rsid w:val="0B772314"/>
    <w:rsid w:val="0BDE1E0E"/>
    <w:rsid w:val="0BE33A9C"/>
    <w:rsid w:val="0C8846BE"/>
    <w:rsid w:val="0D1C32F1"/>
    <w:rsid w:val="0D651C0F"/>
    <w:rsid w:val="0D780972"/>
    <w:rsid w:val="0DC676DA"/>
    <w:rsid w:val="0E782100"/>
    <w:rsid w:val="0F097656"/>
    <w:rsid w:val="0F727010"/>
    <w:rsid w:val="0FDC3818"/>
    <w:rsid w:val="10936B4E"/>
    <w:rsid w:val="110F36F7"/>
    <w:rsid w:val="117347F3"/>
    <w:rsid w:val="11A976A8"/>
    <w:rsid w:val="11B42C14"/>
    <w:rsid w:val="1288550F"/>
    <w:rsid w:val="13884E79"/>
    <w:rsid w:val="13DF1E60"/>
    <w:rsid w:val="13EC0815"/>
    <w:rsid w:val="14194617"/>
    <w:rsid w:val="14750345"/>
    <w:rsid w:val="152905E0"/>
    <w:rsid w:val="158D1DE1"/>
    <w:rsid w:val="16AC2613"/>
    <w:rsid w:val="16F20B4C"/>
    <w:rsid w:val="17546308"/>
    <w:rsid w:val="176F3141"/>
    <w:rsid w:val="17B84874"/>
    <w:rsid w:val="18D53478"/>
    <w:rsid w:val="18E357D1"/>
    <w:rsid w:val="19673271"/>
    <w:rsid w:val="19E335AA"/>
    <w:rsid w:val="19F3005A"/>
    <w:rsid w:val="19F441E8"/>
    <w:rsid w:val="1A486506"/>
    <w:rsid w:val="1A4D2EA9"/>
    <w:rsid w:val="1AD655A7"/>
    <w:rsid w:val="1AE1108A"/>
    <w:rsid w:val="1B3658EA"/>
    <w:rsid w:val="1B7651DE"/>
    <w:rsid w:val="1C906BC8"/>
    <w:rsid w:val="1C9D6988"/>
    <w:rsid w:val="1CDD16B4"/>
    <w:rsid w:val="1D140086"/>
    <w:rsid w:val="1D8A760F"/>
    <w:rsid w:val="1DEB5ABF"/>
    <w:rsid w:val="1E2E6134"/>
    <w:rsid w:val="1E4946EC"/>
    <w:rsid w:val="1F162E27"/>
    <w:rsid w:val="1F2E69D8"/>
    <w:rsid w:val="1F301EB6"/>
    <w:rsid w:val="1FC2095D"/>
    <w:rsid w:val="1FD320C3"/>
    <w:rsid w:val="1FDE1F6A"/>
    <w:rsid w:val="205976F6"/>
    <w:rsid w:val="21406457"/>
    <w:rsid w:val="2194730A"/>
    <w:rsid w:val="21B748DE"/>
    <w:rsid w:val="22A36C6E"/>
    <w:rsid w:val="2309375D"/>
    <w:rsid w:val="2357104C"/>
    <w:rsid w:val="23BD58B7"/>
    <w:rsid w:val="24D11992"/>
    <w:rsid w:val="2543028D"/>
    <w:rsid w:val="259D75C1"/>
    <w:rsid w:val="259F0478"/>
    <w:rsid w:val="25BB641B"/>
    <w:rsid w:val="25C66E7C"/>
    <w:rsid w:val="26337A49"/>
    <w:rsid w:val="2646501F"/>
    <w:rsid w:val="26C26BDB"/>
    <w:rsid w:val="26F941D5"/>
    <w:rsid w:val="26FD0BB4"/>
    <w:rsid w:val="296A0163"/>
    <w:rsid w:val="29C35364"/>
    <w:rsid w:val="2A8F304F"/>
    <w:rsid w:val="2AC0648F"/>
    <w:rsid w:val="2C6405B6"/>
    <w:rsid w:val="2CE1077A"/>
    <w:rsid w:val="2F9C3412"/>
    <w:rsid w:val="302169BE"/>
    <w:rsid w:val="314B31B3"/>
    <w:rsid w:val="319C02FB"/>
    <w:rsid w:val="32143292"/>
    <w:rsid w:val="33CE0366"/>
    <w:rsid w:val="34600597"/>
    <w:rsid w:val="351C58D6"/>
    <w:rsid w:val="36622011"/>
    <w:rsid w:val="37D16798"/>
    <w:rsid w:val="3841098E"/>
    <w:rsid w:val="38D31BA3"/>
    <w:rsid w:val="38F37B87"/>
    <w:rsid w:val="3A1449F8"/>
    <w:rsid w:val="3A615339"/>
    <w:rsid w:val="3AB5450A"/>
    <w:rsid w:val="3C1357F3"/>
    <w:rsid w:val="3C6C4871"/>
    <w:rsid w:val="3E3A423D"/>
    <w:rsid w:val="3F0B265D"/>
    <w:rsid w:val="3F315AB6"/>
    <w:rsid w:val="3FDB1AED"/>
    <w:rsid w:val="40A14ECE"/>
    <w:rsid w:val="41114403"/>
    <w:rsid w:val="41354204"/>
    <w:rsid w:val="41707930"/>
    <w:rsid w:val="421F738E"/>
    <w:rsid w:val="42572124"/>
    <w:rsid w:val="435E5C94"/>
    <w:rsid w:val="43C10C64"/>
    <w:rsid w:val="43D00878"/>
    <w:rsid w:val="44561DC2"/>
    <w:rsid w:val="44FB22E7"/>
    <w:rsid w:val="44FF34A7"/>
    <w:rsid w:val="453B2896"/>
    <w:rsid w:val="45D30095"/>
    <w:rsid w:val="460A1F15"/>
    <w:rsid w:val="466A6A21"/>
    <w:rsid w:val="46B1257F"/>
    <w:rsid w:val="47E6122A"/>
    <w:rsid w:val="48CC2C91"/>
    <w:rsid w:val="492F4C9E"/>
    <w:rsid w:val="49D44379"/>
    <w:rsid w:val="49E06EBA"/>
    <w:rsid w:val="4B1D4687"/>
    <w:rsid w:val="4BE91F17"/>
    <w:rsid w:val="4C194E4E"/>
    <w:rsid w:val="4D60033D"/>
    <w:rsid w:val="4E1C4782"/>
    <w:rsid w:val="4E3E6DEE"/>
    <w:rsid w:val="4E432124"/>
    <w:rsid w:val="4E8E7FD2"/>
    <w:rsid w:val="4EBF6C5D"/>
    <w:rsid w:val="504A1FB4"/>
    <w:rsid w:val="50A9689E"/>
    <w:rsid w:val="50C002BC"/>
    <w:rsid w:val="51380B46"/>
    <w:rsid w:val="51DC6718"/>
    <w:rsid w:val="52EE3D1D"/>
    <w:rsid w:val="52F250C4"/>
    <w:rsid w:val="52FC308C"/>
    <w:rsid w:val="53456529"/>
    <w:rsid w:val="534C7AEF"/>
    <w:rsid w:val="536C61AC"/>
    <w:rsid w:val="54737E76"/>
    <w:rsid w:val="54A1680E"/>
    <w:rsid w:val="54CD4E36"/>
    <w:rsid w:val="54CF5E1B"/>
    <w:rsid w:val="55563E2F"/>
    <w:rsid w:val="56073F6A"/>
    <w:rsid w:val="569E0E7C"/>
    <w:rsid w:val="56D02427"/>
    <w:rsid w:val="57124CE8"/>
    <w:rsid w:val="572A24A1"/>
    <w:rsid w:val="57662BCF"/>
    <w:rsid w:val="58046179"/>
    <w:rsid w:val="58B70460"/>
    <w:rsid w:val="5B883B49"/>
    <w:rsid w:val="5C1D5810"/>
    <w:rsid w:val="5D983C80"/>
    <w:rsid w:val="5EC239AE"/>
    <w:rsid w:val="5F033307"/>
    <w:rsid w:val="60596640"/>
    <w:rsid w:val="60715D62"/>
    <w:rsid w:val="60DC73A5"/>
    <w:rsid w:val="61912710"/>
    <w:rsid w:val="61F61A2B"/>
    <w:rsid w:val="624327CD"/>
    <w:rsid w:val="628A1B0F"/>
    <w:rsid w:val="62E65771"/>
    <w:rsid w:val="6312459E"/>
    <w:rsid w:val="634D55BE"/>
    <w:rsid w:val="64564E9C"/>
    <w:rsid w:val="64B7265D"/>
    <w:rsid w:val="65161B75"/>
    <w:rsid w:val="65EF4436"/>
    <w:rsid w:val="65FD4851"/>
    <w:rsid w:val="674D1AFE"/>
    <w:rsid w:val="67674868"/>
    <w:rsid w:val="67A30532"/>
    <w:rsid w:val="69521A2A"/>
    <w:rsid w:val="69AA7535"/>
    <w:rsid w:val="6A0D75F4"/>
    <w:rsid w:val="6A305A57"/>
    <w:rsid w:val="6A9C1E8C"/>
    <w:rsid w:val="6ABF6769"/>
    <w:rsid w:val="6AC52E02"/>
    <w:rsid w:val="6B3057ED"/>
    <w:rsid w:val="6BAA5A63"/>
    <w:rsid w:val="6BCC5A5D"/>
    <w:rsid w:val="6C404E6B"/>
    <w:rsid w:val="6C5A117C"/>
    <w:rsid w:val="6C6209A2"/>
    <w:rsid w:val="6C755C79"/>
    <w:rsid w:val="6D5470BC"/>
    <w:rsid w:val="6D8158E0"/>
    <w:rsid w:val="6E903FB0"/>
    <w:rsid w:val="6EBE56B6"/>
    <w:rsid w:val="6F3D0F6F"/>
    <w:rsid w:val="705570C3"/>
    <w:rsid w:val="70D434AA"/>
    <w:rsid w:val="71BE25B2"/>
    <w:rsid w:val="72284FDE"/>
    <w:rsid w:val="728F1979"/>
    <w:rsid w:val="72A551E7"/>
    <w:rsid w:val="72C63F1B"/>
    <w:rsid w:val="731B170C"/>
    <w:rsid w:val="734A070C"/>
    <w:rsid w:val="73F001DA"/>
    <w:rsid w:val="74471CA9"/>
    <w:rsid w:val="75982D27"/>
    <w:rsid w:val="76D50105"/>
    <w:rsid w:val="7755238F"/>
    <w:rsid w:val="779213E0"/>
    <w:rsid w:val="783A0EAF"/>
    <w:rsid w:val="790E0FE8"/>
    <w:rsid w:val="79C93160"/>
    <w:rsid w:val="79F40CBC"/>
    <w:rsid w:val="7A8C2416"/>
    <w:rsid w:val="7A902FB6"/>
    <w:rsid w:val="7ACA4871"/>
    <w:rsid w:val="7AD040EF"/>
    <w:rsid w:val="7AF944B0"/>
    <w:rsid w:val="7BAD44B8"/>
    <w:rsid w:val="7BEE60C7"/>
    <w:rsid w:val="7CB158D0"/>
    <w:rsid w:val="7CCC5441"/>
    <w:rsid w:val="7D1A3DC6"/>
    <w:rsid w:val="7D663AFE"/>
    <w:rsid w:val="7DA53884"/>
    <w:rsid w:val="7E7B71EF"/>
    <w:rsid w:val="7EBE7232"/>
    <w:rsid w:val="7F963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100" w:after="100" w:line="415" w:lineRule="auto"/>
      <w:jc w:val="center"/>
      <w:outlineLvl w:val="1"/>
    </w:pPr>
    <w:rPr>
      <w:rFonts w:ascii="Cambria" w:hAnsi="Cambria" w:eastAsia="黑体"/>
      <w:b/>
      <w:bCs/>
      <w:sz w:val="28"/>
      <w:szCs w:val="32"/>
    </w:rPr>
  </w:style>
  <w:style w:type="paragraph" w:styleId="3">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unhideWhenUsed/>
    <w:qFormat/>
    <w:uiPriority w:val="99"/>
    <w:pPr>
      <w:jc w:val="left"/>
    </w:pPr>
  </w:style>
  <w:style w:type="paragraph" w:styleId="5">
    <w:name w:val="Balloon Text"/>
    <w:basedOn w:val="1"/>
    <w:link w:val="26"/>
    <w:autoRedefine/>
    <w:semiHidden/>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11"/>
    <w:pPr>
      <w:spacing w:line="312" w:lineRule="auto"/>
      <w:ind w:firstLine="200" w:firstLineChars="200"/>
      <w:jc w:val="center"/>
      <w:outlineLvl w:val="1"/>
    </w:pPr>
    <w:rPr>
      <w:rFonts w:ascii="Cambria" w:hAnsi="Cambria" w:eastAsia="楷体_GB2312"/>
      <w:b/>
      <w:bCs/>
      <w:kern w:val="28"/>
      <w:sz w:val="28"/>
      <w:szCs w:val="32"/>
    </w:rPr>
  </w:style>
  <w:style w:type="paragraph" w:styleId="9">
    <w:name w:val="Normal (Web)"/>
    <w:basedOn w:val="1"/>
    <w:autoRedefine/>
    <w:qFormat/>
    <w:uiPriority w:val="0"/>
    <w:pPr>
      <w:widowControl/>
      <w:spacing w:before="100" w:beforeAutospacing="1" w:after="100" w:afterAutospacing="1"/>
      <w:jc w:val="left"/>
    </w:pPr>
    <w:rPr>
      <w:rFonts w:hint="eastAsia" w:ascii="宋体" w:hAnsi="宋体"/>
      <w:color w:val="000000"/>
      <w:kern w:val="0"/>
      <w:sz w:val="24"/>
      <w:szCs w:val="24"/>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autoRedefine/>
    <w:unhideWhenUsed/>
    <w:qFormat/>
    <w:uiPriority w:val="99"/>
    <w:rPr>
      <w:color w:val="0563C1" w:themeColor="hyperlink"/>
      <w:u w:val="single"/>
      <w14:textFill>
        <w14:solidFill>
          <w14:schemeClr w14:val="hlink"/>
        </w14:solidFill>
      </w14:textFill>
    </w:rPr>
  </w:style>
  <w:style w:type="character" w:styleId="14">
    <w:name w:val="annotation reference"/>
    <w:basedOn w:val="12"/>
    <w:autoRedefine/>
    <w:semiHidden/>
    <w:unhideWhenUsed/>
    <w:qFormat/>
    <w:uiPriority w:val="99"/>
    <w:rPr>
      <w:sz w:val="21"/>
      <w:szCs w:val="21"/>
    </w:rPr>
  </w:style>
  <w:style w:type="character" w:customStyle="1" w:styleId="15">
    <w:name w:val="未处理的提及1"/>
    <w:basedOn w:val="12"/>
    <w:autoRedefine/>
    <w:semiHidden/>
    <w:unhideWhenUsed/>
    <w:qFormat/>
    <w:uiPriority w:val="99"/>
    <w:rPr>
      <w:color w:val="605E5C"/>
      <w:shd w:val="clear" w:color="auto" w:fill="E1DFDD"/>
    </w:rPr>
  </w:style>
  <w:style w:type="character" w:customStyle="1" w:styleId="16">
    <w:name w:val="页眉 Char"/>
    <w:basedOn w:val="12"/>
    <w:link w:val="7"/>
    <w:autoRedefine/>
    <w:qFormat/>
    <w:uiPriority w:val="99"/>
    <w:rPr>
      <w:sz w:val="18"/>
      <w:szCs w:val="18"/>
    </w:rPr>
  </w:style>
  <w:style w:type="character" w:customStyle="1" w:styleId="17">
    <w:name w:val="页脚 Char"/>
    <w:basedOn w:val="12"/>
    <w:link w:val="6"/>
    <w:autoRedefine/>
    <w:qFormat/>
    <w:uiPriority w:val="99"/>
    <w:rPr>
      <w:sz w:val="18"/>
      <w:szCs w:val="18"/>
    </w:rPr>
  </w:style>
  <w:style w:type="paragraph" w:customStyle="1" w:styleId="18">
    <w:name w:val="_Style 9"/>
    <w:basedOn w:val="1"/>
    <w:next w:val="19"/>
    <w:autoRedefine/>
    <w:qFormat/>
    <w:uiPriority w:val="34"/>
    <w:pPr>
      <w:ind w:firstLine="420" w:firstLineChars="200"/>
    </w:pPr>
    <w:rPr>
      <w:rFonts w:ascii="Calibri" w:hAnsi="Calibri" w:eastAsia="宋体" w:cs="Times New Roman"/>
    </w:rPr>
  </w:style>
  <w:style w:type="paragraph" w:styleId="19">
    <w:name w:val="List Paragraph"/>
    <w:basedOn w:val="1"/>
    <w:autoRedefine/>
    <w:qFormat/>
    <w:uiPriority w:val="34"/>
    <w:pPr>
      <w:ind w:firstLine="420" w:firstLineChars="200"/>
    </w:pPr>
  </w:style>
  <w:style w:type="character" w:customStyle="1" w:styleId="20">
    <w:name w:val="副标题 Char"/>
    <w:link w:val="8"/>
    <w:autoRedefine/>
    <w:qFormat/>
    <w:uiPriority w:val="11"/>
    <w:rPr>
      <w:rFonts w:ascii="Cambria" w:hAnsi="Cambria" w:eastAsia="楷体_GB2312"/>
      <w:b/>
      <w:bCs/>
      <w:kern w:val="28"/>
      <w:sz w:val="28"/>
      <w:szCs w:val="32"/>
    </w:rPr>
  </w:style>
  <w:style w:type="paragraph" w:customStyle="1" w:styleId="21">
    <w:name w:val="Table Paragraph"/>
    <w:basedOn w:val="1"/>
    <w:autoRedefine/>
    <w:qFormat/>
    <w:uiPriority w:val="0"/>
  </w:style>
  <w:style w:type="paragraph" w:customStyle="1" w:styleId="22">
    <w:name w:val="标准文件_表格"/>
    <w:basedOn w:val="23"/>
    <w:autoRedefine/>
    <w:qFormat/>
    <w:uiPriority w:val="0"/>
    <w:pPr>
      <w:ind w:firstLine="0" w:firstLineChars="0"/>
      <w:jc w:val="center"/>
    </w:pPr>
    <w:rPr>
      <w:sz w:val="18"/>
    </w:rPr>
  </w:style>
  <w:style w:type="paragraph" w:customStyle="1" w:styleId="23">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段"/>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5">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6">
    <w:name w:val="批注框文本 Char"/>
    <w:basedOn w:val="12"/>
    <w:link w:val="5"/>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5AB5-083F-4F72-B181-2DD0F67072B3}">
  <ds:schemaRefs/>
</ds:datastoreItem>
</file>

<file path=docProps/app.xml><?xml version="1.0" encoding="utf-8"?>
<Properties xmlns="http://schemas.openxmlformats.org/officeDocument/2006/extended-properties" xmlns:vt="http://schemas.openxmlformats.org/officeDocument/2006/docPropsVTypes">
  <Template>Normal</Template>
  <Pages>1</Pages>
  <Words>1857</Words>
  <Characters>10587</Characters>
  <Lines>88</Lines>
  <Paragraphs>24</Paragraphs>
  <TotalTime>747</TotalTime>
  <ScaleCrop>false</ScaleCrop>
  <LinksUpToDate>false</LinksUpToDate>
  <CharactersWithSpaces>12420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2021-11-19T07:37:00Z</dcterms:created>
  <dc:creator>wh</dc:creator>
  <cp:lastModifiedBy>张凯</cp:lastModifiedBy>
  <dcterms:modified xsi:type="dcterms:W3CDTF">2024-04-03T03:32:16Z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20BC63C3678342088CC5BD7DDD4BBC8A_13</vt:lpwstr>
  </property>
</Properties>
</file>